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16"/>
      </w:tblGrid>
      <w:tr w:rsidR="003112A5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3112A5" w:rsidRDefault="001A68BD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12A5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3112A5" w:rsidRDefault="001A68BD">
            <w:pPr>
              <w:pStyle w:val="ConsPlusTitlePage0"/>
              <w:jc w:val="center"/>
            </w:pPr>
            <w:r>
              <w:rPr>
                <w:sz w:val="46"/>
              </w:rPr>
              <w:t>Постановление Правительства Мурманской области от 03.06.2025 N 383-ПП</w:t>
            </w:r>
            <w:r>
              <w:rPr>
                <w:sz w:val="46"/>
              </w:rPr>
              <w:br/>
            </w:r>
            <w:r>
              <w:rPr>
                <w:sz w:val="46"/>
              </w:rPr>
              <w:t>"Об утверждении порядка предоставления из областного бюджета субсидии на финансовое обеспечение затрат автономной некоммерческой организации "Арктический центр компетенций", связанных с реализацией мероприятий региональной программы "Герои Севера", о выдел</w:t>
            </w:r>
            <w:r>
              <w:rPr>
                <w:sz w:val="46"/>
              </w:rPr>
              <w:t>ении денежных средств из резервного фонда Правительства Мурманской области и о внесении изменений в государственную программу Мурманской области "Государственное управление и гражданское общество"</w:t>
            </w:r>
          </w:p>
        </w:tc>
      </w:tr>
      <w:tr w:rsidR="003112A5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3112A5" w:rsidRDefault="001A68BD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22.10.2025</w:t>
            </w:r>
            <w:r>
              <w:rPr>
                <w:sz w:val="28"/>
              </w:rPr>
              <w:br/>
              <w:t> </w:t>
            </w:r>
          </w:p>
        </w:tc>
      </w:tr>
    </w:tbl>
    <w:p w:rsidR="003112A5" w:rsidRDefault="003112A5">
      <w:pPr>
        <w:pStyle w:val="ConsPlusNormal0"/>
        <w:sectPr w:rsidR="003112A5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3112A5" w:rsidRDefault="003112A5">
      <w:pPr>
        <w:pStyle w:val="ConsPlusNormal0"/>
        <w:jc w:val="both"/>
        <w:outlineLvl w:val="0"/>
      </w:pPr>
    </w:p>
    <w:p w:rsidR="003112A5" w:rsidRDefault="001A68BD">
      <w:pPr>
        <w:pStyle w:val="ConsPlusTitle0"/>
        <w:jc w:val="center"/>
        <w:outlineLvl w:val="0"/>
      </w:pPr>
      <w:r>
        <w:t>ПРАВИТЕЛЬСТВО МУРМАНСКОЙ ОБЛАСТИ</w:t>
      </w:r>
    </w:p>
    <w:p w:rsidR="003112A5" w:rsidRDefault="003112A5">
      <w:pPr>
        <w:pStyle w:val="ConsPlusTitle0"/>
        <w:jc w:val="center"/>
      </w:pPr>
    </w:p>
    <w:p w:rsidR="003112A5" w:rsidRDefault="001A68BD">
      <w:pPr>
        <w:pStyle w:val="ConsPlusTitle0"/>
        <w:jc w:val="center"/>
      </w:pPr>
      <w:r>
        <w:t>ПОСТАНОВЛЕНИЕ</w:t>
      </w:r>
    </w:p>
    <w:p w:rsidR="003112A5" w:rsidRDefault="001A68BD">
      <w:pPr>
        <w:pStyle w:val="ConsPlusTitle0"/>
        <w:jc w:val="center"/>
      </w:pPr>
      <w:r>
        <w:t>от 3 июня 2025 г. N 383-ПП</w:t>
      </w:r>
    </w:p>
    <w:p w:rsidR="003112A5" w:rsidRDefault="003112A5">
      <w:pPr>
        <w:pStyle w:val="ConsPlusTitle0"/>
        <w:jc w:val="center"/>
      </w:pPr>
    </w:p>
    <w:p w:rsidR="003112A5" w:rsidRDefault="001A68BD">
      <w:pPr>
        <w:pStyle w:val="ConsPlusTitle0"/>
        <w:jc w:val="center"/>
      </w:pPr>
      <w:r>
        <w:t>ОБ УТВЕРЖДЕНИИ ПОРЯДКА ПРЕДОСТАВЛЕНИЯ ИЗ ОБЛАСТНОГО БЮДЖЕТА</w:t>
      </w:r>
    </w:p>
    <w:p w:rsidR="003112A5" w:rsidRDefault="001A68BD">
      <w:pPr>
        <w:pStyle w:val="ConsPlusTitle0"/>
        <w:jc w:val="center"/>
      </w:pPr>
      <w:r>
        <w:t>СУБСИДИИ НА ФИНАНСОВОЕ ОБЕСПЕЧЕНИЕ ЗАТРАТ АВТОНОМНОЙ</w:t>
      </w:r>
    </w:p>
    <w:p w:rsidR="003112A5" w:rsidRDefault="001A68BD">
      <w:pPr>
        <w:pStyle w:val="ConsPlusTitle0"/>
        <w:jc w:val="center"/>
      </w:pPr>
      <w:r>
        <w:t>НЕКОММЕРЧЕСКОЙ ОРГАНИЗАЦИИ "АРКТИЧЕСКИЙ ЦЕНТР КОМПЕТЕНЦИЙ",</w:t>
      </w:r>
    </w:p>
    <w:p w:rsidR="003112A5" w:rsidRDefault="001A68BD">
      <w:pPr>
        <w:pStyle w:val="ConsPlusTitle0"/>
        <w:jc w:val="center"/>
      </w:pPr>
      <w:r>
        <w:t>СВЯЗАНН</w:t>
      </w:r>
      <w:r>
        <w:t>ЫХ С РЕАЛИЗАЦИЕЙ МЕРОПРИЯТИЙ РЕГИОНАЛЬНОЙ ПРОГРАММЫ</w:t>
      </w:r>
    </w:p>
    <w:p w:rsidR="003112A5" w:rsidRDefault="001A68BD">
      <w:pPr>
        <w:pStyle w:val="ConsPlusTitle0"/>
        <w:jc w:val="center"/>
      </w:pPr>
      <w:r>
        <w:t>"ГЕРОИ СЕВЕРА", О ВЫДЕЛЕНИИ ДЕНЕЖНЫХ СРЕДСТВ ИЗ РЕЗЕРВНОГО</w:t>
      </w:r>
    </w:p>
    <w:p w:rsidR="003112A5" w:rsidRDefault="001A68BD">
      <w:pPr>
        <w:pStyle w:val="ConsPlusTitle0"/>
        <w:jc w:val="center"/>
      </w:pPr>
      <w:r>
        <w:t>ФОНДА ПРАВИТЕЛЬСТВА МУРМАНСКОЙ ОБЛАСТИ И О ВНЕСЕНИИ</w:t>
      </w:r>
    </w:p>
    <w:p w:rsidR="003112A5" w:rsidRDefault="001A68BD">
      <w:pPr>
        <w:pStyle w:val="ConsPlusTitle0"/>
        <w:jc w:val="center"/>
      </w:pPr>
      <w:r>
        <w:t>ИЗМЕНЕНИЙ В ГОСУДАРСТВЕННУЮ ПРОГРАММУ МУРМАНСКОЙ ОБЛАСТИ</w:t>
      </w:r>
    </w:p>
    <w:p w:rsidR="003112A5" w:rsidRDefault="001A68BD">
      <w:pPr>
        <w:pStyle w:val="ConsPlusTitle0"/>
        <w:jc w:val="center"/>
      </w:pPr>
      <w:r>
        <w:t>"ГОСУДАРСТВЕННОЕ УПРАВЛЕНИЕ И ГРАЖДА</w:t>
      </w:r>
      <w:r>
        <w:t>НСКОЕ ОБЩЕСТВО"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r>
        <w:t>В соответствии со статьей 78.1 Бюджетного кодекса Российской Федерации, постановлением</w:t>
      </w:r>
      <w:r>
        <w:t xml:space="preserve">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</w:t>
      </w:r>
      <w:r>
        <w:t>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постановлениями П</w:t>
      </w:r>
      <w:r>
        <w:t>равительства Мурманской области от 18.01.2008 N 5-ПП "Об утверждении Положения о порядке расходования средств резервного фонда Правительства Мурманской области", от 14.02.2025 N 96-ПП "О реализации на территории Мурманской области региональной программы "Г</w:t>
      </w:r>
      <w:r>
        <w:t>ерои Севера" Правительство Мурманской области постановляет: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1. Утвердить прилагаемый </w:t>
      </w:r>
      <w:hyperlink w:anchor="P55" w:tooltip="ПОРЯДОК">
        <w:r>
          <w:rPr>
            <w:color w:val="0000FF"/>
          </w:rPr>
          <w:t>Порядок</w:t>
        </w:r>
      </w:hyperlink>
      <w:r>
        <w:t xml:space="preserve"> предоставления из областного бюджета субсидии на финансовое обеспечение затрат автономной некоммерческой организации "Арктич</w:t>
      </w:r>
      <w:r>
        <w:t>еский центр компетенций", связанных с реализацией мероприятий региональной программы "Герои Севера" (далее - Порядок).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2. Выделить из резервного фонда Правительства Мурманской области 35000000 (Тридцать пять миллионов) рублей 00 копеек, в том числе:</w:t>
      </w:r>
    </w:p>
    <w:p w:rsidR="003112A5" w:rsidRDefault="001A68BD">
      <w:pPr>
        <w:pStyle w:val="ConsPlusNormal0"/>
        <w:spacing w:before="240"/>
        <w:ind w:firstLine="540"/>
        <w:jc w:val="both"/>
      </w:pPr>
      <w:bookmarkStart w:id="1" w:name="P18"/>
      <w:bookmarkEnd w:id="1"/>
      <w:r>
        <w:t>- 2904</w:t>
      </w:r>
      <w:r>
        <w:t xml:space="preserve">0000 (Двадцать девять миллионов сорок тысяч) рублей 00 копеек Министерству внутренней политики Мурманской области для предоставления субсидии на финансовое обеспечение затрат автономной некоммерческой организации "Арктический центр компетенций", связанных </w:t>
      </w:r>
      <w:r>
        <w:t xml:space="preserve">с реализацией мероприятий региональной программы "Герои Севера", в рамках комплекса процессных мероприятий "Создание условий для укрепления единства российской нации и этнокультурного развития народов России в Мурманской области" государственной программы </w:t>
      </w:r>
      <w:r>
        <w:t>Мурманской области "Государственное управление и гражданское общество", утвержденной постановлением Правительства Мурманской области от 11.11.2020 N 793-ПП;</w:t>
      </w:r>
    </w:p>
    <w:p w:rsidR="003112A5" w:rsidRDefault="001A68BD">
      <w:pPr>
        <w:pStyle w:val="ConsPlusNormal0"/>
        <w:spacing w:before="240"/>
        <w:ind w:firstLine="540"/>
        <w:jc w:val="both"/>
      </w:pPr>
      <w:bookmarkStart w:id="2" w:name="P19"/>
      <w:bookmarkEnd w:id="2"/>
      <w:r>
        <w:t>- 5960000 (Пять миллионов девятьсот шестьдесят тысяч) рублей 00 копеек Министерству развития Арктик</w:t>
      </w:r>
      <w:r>
        <w:t xml:space="preserve">и и экономики Мурманской области для предоставления субсидии на финансовое обеспечение затрат, связанных с осуществлением уставной деятельности автономной </w:t>
      </w:r>
      <w:r>
        <w:lastRenderedPageBreak/>
        <w:t xml:space="preserve">некоммерческой организации "Арктический центр компетенций" в рамках комплекса процессных мероприятий </w:t>
      </w:r>
      <w:r>
        <w:t>"Реализация государственной политики в сфере экономического развития Мурманской области" государственной программы "Экономический потенциал", утвержденной постановлением Правительства Мурманской области от 11.11.2020 N 780-ПП (далее - государственная прогр</w:t>
      </w:r>
      <w:r>
        <w:t>амма).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 Министерству внутренней политики Мурманской области (Макарова Э.В.):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3.1. Обеспечить предоставление субсидии на финансовое обеспечение затрат автономной некоммерческой организации "Арктический центр компетенций", связанных с реализацией мероприят</w:t>
      </w:r>
      <w:r>
        <w:t xml:space="preserve">ий региональной программы "Герои Севера", в соответствии с утвержденным настоящим постановлением </w:t>
      </w:r>
      <w:hyperlink w:anchor="P55" w:tooltip="ПОРЯДОК">
        <w:r>
          <w:rPr>
            <w:color w:val="0000FF"/>
          </w:rPr>
          <w:t>Порядком</w:t>
        </w:r>
      </w:hyperlink>
      <w:r>
        <w:t>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3.2. Обеспечить контроль за целевым расходованием выделенных средств.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3.3. В срок до 25 декабря 2025 года пред</w:t>
      </w:r>
      <w:r>
        <w:t>ставить в Министерство финансов Мурманской области отчет о целевом использовании выделенных средств.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3.4. Неиспользованные денежные средства перечислить на единый счет областного бюджета одновременно с представлением отчета о целевом использовании выделенн</w:t>
      </w:r>
      <w:r>
        <w:t>ых средств.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3.5. В случае возврата денежных средств на единый счет областного бюджета в течение 5 рабочих дней после данного возврата инициировать изменения в сводную бюджетную роспись в целях восстановления бюджетных ассигнований резервного фонда Правител</w:t>
      </w:r>
      <w:r>
        <w:t>ьства Мурманской области.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4. Министерству развития Арктики и экономики Мурманской области (Панфилова С.А.):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4.1. Обеспечить предоставление субсидии на финансовое обеспечение затрат автономной некоммерческой организации "Арктический центр компетенций", связ</w:t>
      </w:r>
      <w:r>
        <w:t>анных с осуществлением уставной деятельности в соответствии с Порядком определения объема и предоставления субсидии из областного бюджета автономной некоммерческой организации "Арктический центр компетенций" на финансовое обеспечение затрат, связанных с ос</w:t>
      </w:r>
      <w:r>
        <w:t>уществлением уставной деятельности, утвержденным постановлением Правительства Мурманской области от 08.07.2021 N 456-ПП.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4.2. Обеспечить внесение соответствующих изменений в государственную программу.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4.3. Обеспечить контроль за целевым расходованием выдел</w:t>
      </w:r>
      <w:r>
        <w:t>енных средств.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4.4. В срок до 25 января 2026 года представить в Министерство финансов Мурманской области отчет о целевом использовании выделенных средств.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4.5. Неиспользованные денежные средства перечислить на единый счет областного бюджета одновременно с </w:t>
      </w:r>
      <w:r>
        <w:t>представлением отчета о целевом использовании выделенных средств.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5. Автономной некоммерческой организации "Арктический центр компетенций" (Трегубова О.А.):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lastRenderedPageBreak/>
        <w:t>5.1. Обеспечить целевое расходование полученных средств.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5.2. В срок до 20 декабря 2025 года представить в Министерство внутренней политики Мурманской области отчет о целевом использовании средств с приложением копий первичных документов, подтверждающих во</w:t>
      </w:r>
      <w:r>
        <w:t xml:space="preserve">зникновение денежных обязательств у получателя средств и факт направления средств на цели, указанные в </w:t>
      </w:r>
      <w:hyperlink w:anchor="P18" w:tooltip="- 29040000 (Двадцать девять миллионов сорок тысяч) рублей 00 копеек Министерству внутренней политики Мурманской области для предоставления субсидии на финансовое обеспечение затрат автономной некоммерческой организации &quot;Арктический центр компетенций&quot;, связанны">
        <w:r>
          <w:rPr>
            <w:color w:val="0000FF"/>
          </w:rPr>
          <w:t>абзаце втором пункта 2</w:t>
        </w:r>
      </w:hyperlink>
      <w:r>
        <w:t xml:space="preserve"> настоящего постановления.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5.3. В срок до 15 января 2026 года представить в Министерство разв</w:t>
      </w:r>
      <w:r>
        <w:t>ития Арктики и экономики Мурманской области отчет о целевом использовании выделенных средств с приложением копий первичных документов, подтверждающих возникновение денежных обязательств у получателей средств и факт перечисления средств на цели, указанные в</w:t>
      </w:r>
      <w:r>
        <w:t xml:space="preserve"> </w:t>
      </w:r>
      <w:hyperlink w:anchor="P19" w:tooltip="- 5960000 (Пять миллионов девятьсот шестьдесят тысяч) рублей 00 копеек Министерству развития Арктики и экономики Мурманской области для предоставления субсидии на финансовое обеспечение затрат, связанных с осуществлением уставной деятельности автономной некомм">
        <w:r>
          <w:rPr>
            <w:color w:val="0000FF"/>
          </w:rPr>
          <w:t>абзаце третьем пункта 2</w:t>
        </w:r>
      </w:hyperlink>
      <w:r>
        <w:t xml:space="preserve"> настоящего постановления.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5.4. Одновременно с представлением отчета о целевом использовании выделенных средств перечислить на счет: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- Министерства внутренней политики Мурманской области неиспольз</w:t>
      </w:r>
      <w:r>
        <w:t xml:space="preserve">ованные денежные средства, выделенные на цели, указанные в </w:t>
      </w:r>
      <w:hyperlink w:anchor="P18" w:tooltip="- 29040000 (Двадцать девять миллионов сорок тысяч) рублей 00 копеек Министерству внутренней политики Мурманской области для предоставления субсидии на финансовое обеспечение затрат автономной некоммерческой организации &quot;Арктический центр компетенций&quot;, связанны">
        <w:r>
          <w:rPr>
            <w:color w:val="0000FF"/>
          </w:rPr>
          <w:t>абзаце втором пункта 2</w:t>
        </w:r>
      </w:hyperlink>
      <w:r>
        <w:t xml:space="preserve"> настоящего постановления;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- Министерства развития Арктики и экономики Мурманской области неиспользованные денежные средства, выделенные </w:t>
      </w:r>
      <w:r>
        <w:t xml:space="preserve">на цели, указанные в </w:t>
      </w:r>
      <w:hyperlink w:anchor="P19" w:tooltip="- 5960000 (Пять миллионов девятьсот шестьдесят тысяч) рублей 00 копеек Министерству развития Арктики и экономики Мурманской области для предоставления субсидии на финансовое обеспечение затрат, связанных с осуществлением уставной деятельности автономной некомм">
        <w:r>
          <w:rPr>
            <w:color w:val="0000FF"/>
          </w:rPr>
          <w:t>абзаце третьем пункта 2</w:t>
        </w:r>
      </w:hyperlink>
      <w:r>
        <w:t xml:space="preserve"> настоящего постановления.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6. Внести в государственную программу Мурманской области "Государственное управление и гражданское общество", утвержденную постановлением Правительст</w:t>
      </w:r>
      <w:r>
        <w:t xml:space="preserve">ва Мурманской области от 11.11.2020 N 793-ПП (в редакции постановления Правительства Мурманской области от 13.05.2025 N 338-ПП), </w:t>
      </w:r>
      <w:hyperlink w:anchor="P311" w:tooltip="ИЗМЕНЕНИЯ">
        <w:r>
          <w:rPr>
            <w:color w:val="0000FF"/>
          </w:rPr>
          <w:t>изменения</w:t>
        </w:r>
      </w:hyperlink>
      <w:r>
        <w:t xml:space="preserve"> согласно приложению к настоящему постановлению.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7. Контроль за исполнением настоящего постановления возложить на первого заместителя Губернатора Мурманской области Демченко О.Н.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jc w:val="right"/>
      </w:pPr>
      <w:r>
        <w:t>Губернатор</w:t>
      </w:r>
    </w:p>
    <w:p w:rsidR="003112A5" w:rsidRDefault="001A68BD">
      <w:pPr>
        <w:pStyle w:val="ConsPlusNormal0"/>
        <w:jc w:val="right"/>
      </w:pPr>
      <w:r>
        <w:t>Мурманской области</w:t>
      </w:r>
    </w:p>
    <w:p w:rsidR="003112A5" w:rsidRDefault="001A68BD">
      <w:pPr>
        <w:pStyle w:val="ConsPlusNormal0"/>
        <w:jc w:val="right"/>
      </w:pPr>
      <w:r>
        <w:t>А.В.ЧИБИС</w:t>
      </w: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jc w:val="right"/>
        <w:outlineLvl w:val="0"/>
      </w:pPr>
      <w:r>
        <w:t>Утвержден</w:t>
      </w:r>
    </w:p>
    <w:p w:rsidR="003112A5" w:rsidRDefault="001A68BD">
      <w:pPr>
        <w:pStyle w:val="ConsPlusNormal0"/>
        <w:jc w:val="right"/>
      </w:pPr>
      <w:r>
        <w:t>постановлением</w:t>
      </w:r>
    </w:p>
    <w:p w:rsidR="003112A5" w:rsidRDefault="001A68BD">
      <w:pPr>
        <w:pStyle w:val="ConsPlusNormal0"/>
        <w:jc w:val="right"/>
      </w:pPr>
      <w:r>
        <w:t>Правительства Мурманской области</w:t>
      </w:r>
    </w:p>
    <w:p w:rsidR="003112A5" w:rsidRDefault="001A68BD">
      <w:pPr>
        <w:pStyle w:val="ConsPlusNormal0"/>
        <w:jc w:val="right"/>
      </w:pPr>
      <w:r>
        <w:t>от 3 июня 2025 г. N 38</w:t>
      </w:r>
      <w:r>
        <w:t>3-ПП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Title0"/>
        <w:jc w:val="center"/>
      </w:pPr>
      <w:bookmarkStart w:id="3" w:name="P55"/>
      <w:bookmarkEnd w:id="3"/>
      <w:r>
        <w:t>ПОРЯДОК</w:t>
      </w:r>
    </w:p>
    <w:p w:rsidR="003112A5" w:rsidRDefault="001A68BD">
      <w:pPr>
        <w:pStyle w:val="ConsPlusTitle0"/>
        <w:jc w:val="center"/>
      </w:pPr>
      <w:r>
        <w:t>ПРЕДОСТАВЛЕНИЯ ИЗ ОБЛАСТНОГО БЮДЖЕТА СУБСИДИИ НА ФИНАНСОВОЕ</w:t>
      </w:r>
    </w:p>
    <w:p w:rsidR="003112A5" w:rsidRDefault="001A68BD">
      <w:pPr>
        <w:pStyle w:val="ConsPlusTitle0"/>
        <w:jc w:val="center"/>
      </w:pPr>
      <w:r>
        <w:t>ОБЕСПЕЧЕНИЕ ЗАТРАТ АВТОНОМНОЙ НЕКОММЕРЧЕСКОЙ ОРГАНИЗАЦИИ</w:t>
      </w:r>
    </w:p>
    <w:p w:rsidR="003112A5" w:rsidRDefault="001A68BD">
      <w:pPr>
        <w:pStyle w:val="ConsPlusTitle0"/>
        <w:jc w:val="center"/>
      </w:pPr>
      <w:r>
        <w:t>"АРКТИЧЕСКИЙ ЦЕНТР КОМПЕТЕНЦИЙ", СВЯЗАННЫХ С РЕАЛИЗАЦИЕЙ</w:t>
      </w:r>
    </w:p>
    <w:p w:rsidR="003112A5" w:rsidRDefault="001A68BD">
      <w:pPr>
        <w:pStyle w:val="ConsPlusTitle0"/>
        <w:jc w:val="center"/>
      </w:pPr>
      <w:r>
        <w:lastRenderedPageBreak/>
        <w:t>МЕРОПРИЯТИЙ РЕГИОНАЛЬНОЙ ПРОГРАММЫ "ГЕРОИ СЕВЕРА"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Title0"/>
        <w:jc w:val="center"/>
        <w:outlineLvl w:val="1"/>
      </w:pPr>
      <w:r>
        <w:t>1. Общие положени</w:t>
      </w:r>
      <w:r>
        <w:t>я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r>
        <w:t>1.1. Настоящий Порядок устанавливает цель, условия, порядок предоставления из областного бюджета субсидии на финансовое обеспечение затрат автономной некоммерческой организации "Арктический центр компетенций", связанных с реализацией мероприятий региона</w:t>
      </w:r>
      <w:r>
        <w:t>льный программы "Герои Севера" в рамках комплекса процессных мероприятий "Создание условий для укрепления единства российской нации и этнокультурного развития народов России в Мурманской области" государственной программы Мурманской области "Государственно</w:t>
      </w:r>
      <w:r>
        <w:t>е управление и гражданское общество", утвержденной постановлением Правительства Мурманской области от 11.11.2020 N 793-ПП (далее - Порядок, субсидия соответственно).</w:t>
      </w:r>
    </w:p>
    <w:p w:rsidR="003112A5" w:rsidRDefault="001A68BD">
      <w:pPr>
        <w:pStyle w:val="ConsPlusNormal0"/>
        <w:spacing w:before="240"/>
        <w:ind w:firstLine="540"/>
        <w:jc w:val="both"/>
      </w:pPr>
      <w:bookmarkStart w:id="4" w:name="P64"/>
      <w:bookmarkEnd w:id="4"/>
      <w:r>
        <w:t>1.2. Целью предоставления субсидии является финансовое обеспечение затрат автономной некоммерческой организации "Арктический центр компетенций", связанных с реализацией мероприятий региональной программы "Герои Севера", предусматривающей проведение меропри</w:t>
      </w:r>
      <w:r>
        <w:t>ятий в целях содействия профессиональному развитию лиц, обеспечивающих (обеспечивавших) выполнение задач в ходе специальной военной операции, формирования у них необходимых знаний, умений и навыков в области государственного управления, и их дальнейшему тр</w:t>
      </w:r>
      <w:r>
        <w:t>удоустройству.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1.3. Министерство внутренней политики Мурманской области 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</w:t>
      </w:r>
      <w:r>
        <w:t xml:space="preserve"> доведены в установленном порядке лимиты бюджетных обязательств на предоставление субсидии на соответствующий финансовый год.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1.4. Получателем субсидии является автономная некоммерческая организация "Арктический центр компетенций" (далее - получатель субси</w:t>
      </w:r>
      <w:r>
        <w:t>дии).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1.5. Источником финансового обеспечения расходов на предоставление субсидии являются бюджетные ассигнования резервного фонда Правительства Мурманской области.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1.6. Информация о субсидии, предоставляемой в соответствии с настоящим Порядком, размещаетс</w:t>
      </w:r>
      <w:r>
        <w:t>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Title0"/>
        <w:jc w:val="center"/>
        <w:outlineLvl w:val="1"/>
      </w:pPr>
      <w:bookmarkStart w:id="5" w:name="P70"/>
      <w:bookmarkEnd w:id="5"/>
      <w:r>
        <w:t>2. Условия предоставления субсидии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bookmarkStart w:id="6" w:name="P72"/>
      <w:bookmarkEnd w:id="6"/>
      <w:r>
        <w:t xml:space="preserve">2.1. Условиями предоставления субсидии </w:t>
      </w:r>
      <w:r>
        <w:t>являются: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2.1.1. Соответствие получателя субсидии требованиям, установленным в </w:t>
      </w:r>
      <w:hyperlink w:anchor="P76" w:tooltip="2.2. Требования, которым должен соответствовать получатель субсидии на первое число месяца, предшествующего месяцу подачи заявки:">
        <w:r>
          <w:rPr>
            <w:color w:val="0000FF"/>
          </w:rPr>
          <w:t>пункте 2.2</w:t>
        </w:r>
      </w:hyperlink>
      <w:r>
        <w:t xml:space="preserve"> насто</w:t>
      </w:r>
      <w:r>
        <w:t>ящего Порядка.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2.1.2. Наличие согласия получателя субсидии на осуществление Министерством проверки соблюдения получателем субсидии условий и порядка предоставления субсидии, в том числе в части достижения результатов предоставления субсидии, а также органа</w:t>
      </w:r>
      <w:r>
        <w:t xml:space="preserve">ми государственного </w:t>
      </w:r>
      <w:r>
        <w:lastRenderedPageBreak/>
        <w:t>финансового контроля Мурманской области проверки в соответствии со статьями 268.1 и 269.2 Бюджетного кодекса Российской Федерации и на включение таких положений в соглашение о предоставлении субсидии, заключенное Министерством с получат</w:t>
      </w:r>
      <w:r>
        <w:t>елем субсидии (далее - соглашение).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2.1.3. Запрет приобретения получателем субсидии, а также иными юридическими лицами, получающими средства на основании договоров (соглашений), заключенных с получателем субсидии, за счет средств субсидии иностранной валют</w:t>
      </w:r>
      <w:r>
        <w:t>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3112A5" w:rsidRDefault="001A68BD">
      <w:pPr>
        <w:pStyle w:val="ConsPlusNormal0"/>
        <w:spacing w:before="240"/>
        <w:ind w:firstLine="540"/>
        <w:jc w:val="both"/>
      </w:pPr>
      <w:bookmarkStart w:id="7" w:name="P76"/>
      <w:bookmarkEnd w:id="7"/>
      <w:r>
        <w:t>2.2. Требования, которым должен соответствовать получатель субсидии на первое число месяца, предшествующего месяцу подачи заявки: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2.2.1. Получатель субсидии не является иностранным юридическим лицом, в том числе местом регистрации которого является государ</w:t>
      </w:r>
      <w:r>
        <w:t>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</w:t>
      </w:r>
      <w:r>
        <w:t xml:space="preserve">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</w:t>
      </w:r>
      <w:r>
        <w:t>доли участия офшорных компаний в капитале российского юридического лица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</w:t>
      </w:r>
      <w:r>
        <w:t xml:space="preserve">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2.2.2. Получатель субсидии не явл</w:t>
      </w:r>
      <w:r>
        <w:t xml:space="preserve">яется получателем средств из областного бюджета на основании иных нормативных правовых актов Мурманской области на цель, установленную </w:t>
      </w:r>
      <w:hyperlink w:anchor="P64" w:tooltip="1.2. Целью предоставления субсидии является финансовое обеспечение затрат автономной некоммерческой организации &quot;Арктический центр компетенций&quot;, связанных с реализацией мероприятий региональной программы &quot;Герои Севера&quot;, предусматривающей проведение мероприятий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2.2.3. Получатель субсидии не находится в перечне</w:t>
      </w:r>
      <w:r>
        <w:t xml:space="preserve">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2.2.4. Получатель субсидии не находится в составляемых в рамках реализации полномочий, предусмотренных главой VII Устава ОО</w:t>
      </w:r>
      <w:r>
        <w:t>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2.2.5.</w:t>
      </w:r>
      <w:r>
        <w:t xml:space="preserve"> Получатель субсидии не является иностранным агентом в соответствии с Федеральным законом от 14.07.2022 N 255-ФЗ "О контроле за деятельностью лиц, находящихся под иностранным влиянием".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2.3. Субсидия носит целевой характер и не может быть использована на д</w:t>
      </w:r>
      <w:r>
        <w:t>ругие цели.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Title0"/>
        <w:jc w:val="center"/>
        <w:outlineLvl w:val="1"/>
      </w:pPr>
      <w:r>
        <w:t>3. Порядок предоставления субсидии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bookmarkStart w:id="8" w:name="P86"/>
      <w:bookmarkEnd w:id="8"/>
      <w:r>
        <w:t>3.1. Для получения субсидии получатель субсидии представляет в Министерство в срок до 10 июня текущего финансового года следующие документы: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3.1.1. </w:t>
      </w:r>
      <w:hyperlink w:anchor="P193" w:tooltip="ЗАЯВКА НА ПРЕДОСТАВЛЕНИЕ СУБСИДИИ">
        <w:r>
          <w:rPr>
            <w:color w:val="0000FF"/>
          </w:rPr>
          <w:t>Заявку</w:t>
        </w:r>
      </w:hyperlink>
      <w:r>
        <w:t xml:space="preserve"> на предоставление субсидии (далее - заявка) по форме согласно приложению N 1 к настоящему Порядку.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3.1.2. Документ, подтверждающий полномочия лица на подачу заявки от имени получателя субсидии, в случае если заявку подает лицо, не имеющее пра</w:t>
      </w:r>
      <w:r>
        <w:t>во действовать без доверенности от имени юридического лица.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3.1.3. Копии учредительных документов, заверенные получателем субсидии.</w:t>
      </w:r>
    </w:p>
    <w:p w:rsidR="003112A5" w:rsidRDefault="001A68BD">
      <w:pPr>
        <w:pStyle w:val="ConsPlusNormal0"/>
        <w:spacing w:before="240"/>
        <w:ind w:firstLine="540"/>
        <w:jc w:val="both"/>
      </w:pPr>
      <w:bookmarkStart w:id="9" w:name="P90"/>
      <w:bookmarkEnd w:id="9"/>
      <w:r>
        <w:t xml:space="preserve">3.1.4. Смету расходов в соответствии с направлениями расходов, установленными в </w:t>
      </w:r>
      <w:hyperlink w:anchor="P258" w:tooltip="ПЕРЕЧЕНЬ">
        <w:r>
          <w:rPr>
            <w:color w:val="0000FF"/>
          </w:rPr>
          <w:t>приложении N 2</w:t>
        </w:r>
      </w:hyperlink>
      <w:r>
        <w:t xml:space="preserve"> к настоящему Порядку.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3.1.5. Письменное согласие получателя субсидии на осуществление в отношении него Министерством про</w:t>
      </w:r>
      <w:r>
        <w:t>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Мурманской области в соответствии со статьями 268.1 и 269.2 Бюдж</w:t>
      </w:r>
      <w:r>
        <w:t>етного кодекса Российской Федерации.</w:t>
      </w:r>
    </w:p>
    <w:p w:rsidR="003112A5" w:rsidRDefault="001A68BD">
      <w:pPr>
        <w:pStyle w:val="ConsPlusNormal0"/>
        <w:spacing w:before="240"/>
        <w:ind w:firstLine="540"/>
        <w:jc w:val="both"/>
      </w:pPr>
      <w:bookmarkStart w:id="10" w:name="P92"/>
      <w:bookmarkEnd w:id="10"/>
      <w:r>
        <w:t>3.1.6. Копию выписки из Единого государственного реестра юридических лиц, полученной не ранее первого числа месяца, предшествующего месяцу, в котором подана заявка.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3.1.7. Справку, подписанную руководителем, главным бух</w:t>
      </w:r>
      <w:r>
        <w:t>галтером (при наличии) или уполномоченными лицами получателя субсидии, скрепленную печатью (при наличии) получателя субсидии, подтверждающую, что получатель субсидии не является иностранным юридическим лицом, в том числе местом регистрации которого являетс</w:t>
      </w:r>
      <w:r>
        <w:t>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а также российским юридическим лицом</w:t>
      </w:r>
      <w:r>
        <w:t>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3.1.8. Справку, подписанную рук</w:t>
      </w:r>
      <w:r>
        <w:t xml:space="preserve">оводителем, главным бухгалтером (при наличии) или уполномоченными лицами получателя субсидии, скрепленную печатью (при наличии) получателя субсидии, подтверждающую, что получатель субсидии по состоянию на первое число месяца, предшествующего месяцу подачи </w:t>
      </w:r>
      <w:r>
        <w:t xml:space="preserve">заявки, не получает средства из областного бюджета на основании иных нормативных правовых актов Мурманской области на цель, установленную </w:t>
      </w:r>
      <w:hyperlink w:anchor="P64" w:tooltip="1.2. Целью предоставления субсидии является финансовое обеспечение затрат автономной некоммерческой организации &quot;Арктический центр компетенций&quot;, связанных с реализацией мероприятий региональной программы &quot;Герои Севера&quot;, предусматривающей проведение мероприятий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3.1.9. Справку, подписанную руководителем, гла</w:t>
      </w:r>
      <w:r>
        <w:t xml:space="preserve">вным бухгалтером (при наличии) или уполномоченными лицами получателя субсидии, скрепленную печатью (при наличии) получателя субсидии, подтверждающую, что получатель субсидии по состоянию на первое число месяца, </w:t>
      </w:r>
      <w:r>
        <w:lastRenderedPageBreak/>
        <w:t>предшествующего месяцу подачи заявки, не нахо</w:t>
      </w:r>
      <w:r>
        <w:t xml:space="preserve">дится в перечне организаций и физических лиц, в отношении которых имеются сведения об их причастности к экстремистской деятельности или терроризму, и в перечнях организаций и физических лиц, связанных с террористическими организациями и террористами или с </w:t>
      </w:r>
      <w:r>
        <w:t>распространением оружия массового уничтожения.</w:t>
      </w:r>
    </w:p>
    <w:p w:rsidR="003112A5" w:rsidRDefault="001A68BD">
      <w:pPr>
        <w:pStyle w:val="ConsPlusNormal0"/>
        <w:spacing w:before="240"/>
        <w:ind w:firstLine="540"/>
        <w:jc w:val="both"/>
      </w:pPr>
      <w:bookmarkStart w:id="11" w:name="P96"/>
      <w:bookmarkEnd w:id="11"/>
      <w:r>
        <w:t>3.1.10. Справку, подписанную руководителем, главным бухгалтером (при наличии) или уполномоченными лицами получателя субсидии, скрепленную печатью (при наличии) получателя субсидии, подтверждающую, что получате</w:t>
      </w:r>
      <w:r>
        <w:t>ль субсидии по состоянию на первое число месяца, предшествующего месяцу подачи заявки, не является иностранным агентом в соответствии с Федеральным законом от 14.07.2022 N 255-ФЗ "О контроле за деятельностью лиц, находящихся под иностранным влиянием".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3.2.</w:t>
      </w:r>
      <w:r>
        <w:t xml:space="preserve"> В случае если получатель субсидии по собственной инициативе не предоставил документы, указанные в </w:t>
      </w:r>
      <w:hyperlink w:anchor="P92" w:tooltip="3.1.6. Копию выписки из Единого государственного реестра юридических лиц, полученной не ранее первого числа месяца, предшествующего месяцу, в котором подана заявка.">
        <w:r>
          <w:rPr>
            <w:color w:val="0000FF"/>
          </w:rPr>
          <w:t>подпунктах 3.1.6</w:t>
        </w:r>
      </w:hyperlink>
      <w:r>
        <w:t xml:space="preserve"> - </w:t>
      </w:r>
      <w:hyperlink w:anchor="P96" w:tooltip="3.1.10. Справку, подписанную руководителем, главным бухгалтером (при наличии) или уполномоченными лицами получателя субсидии, скрепленную печатью (при наличии) получателя субсидии, подтверждающую, что получатель субсидии по состоянию на первое число месяца, пр">
        <w:r>
          <w:rPr>
            <w:color w:val="0000FF"/>
          </w:rPr>
          <w:t>3.1.10 пункта 3.1</w:t>
        </w:r>
      </w:hyperlink>
      <w:r>
        <w:t xml:space="preserve"> настоящего Порядка, Министерство самостоятельно запрашивает в рамках межведомственного взаимодействия в государственных органах, в том числе в э</w:t>
      </w:r>
      <w:r>
        <w:t xml:space="preserve">лектронной форме с использованием системы межведомственного электронного взаимодействия, документ, указанный в </w:t>
      </w:r>
      <w:hyperlink w:anchor="P92" w:tooltip="3.1.6. Копию выписки из Единого государственного реестра юридических лиц, полученной не ранее первого числа месяца, предшествующего месяцу, в котором подана заявка.">
        <w:r>
          <w:rPr>
            <w:color w:val="0000FF"/>
          </w:rPr>
          <w:t>подпункте 3.1.6 пункта 3.1</w:t>
        </w:r>
      </w:hyperlink>
      <w:r>
        <w:t xml:space="preserve"> настоящего Порядка, и сведения, содержащиеся в документах, указанных в </w:t>
      </w:r>
      <w:hyperlink w:anchor="P86" w:tooltip="3.1. Для получения субсидии получатель субсидии представляет в Министерство в срок до 10 июня текущего финансового года следующие документы:">
        <w:r>
          <w:rPr>
            <w:color w:val="0000FF"/>
          </w:rPr>
          <w:t>подпунктах 3.1.7</w:t>
        </w:r>
      </w:hyperlink>
      <w:r>
        <w:t xml:space="preserve"> - </w:t>
      </w:r>
      <w:hyperlink w:anchor="P96" w:tooltip="3.1.10. Справку, подписанную руководителем, главным бухгалтером (при наличии) или уполномоченными лицами получателя субсидии, скрепленную печатью (при наличии) получателя субсидии, подтверждающую, что получатель субсидии по состоянию на первое число месяца, пр">
        <w:r>
          <w:rPr>
            <w:color w:val="0000FF"/>
          </w:rPr>
          <w:t>3.1.10 пункта 3.1</w:t>
        </w:r>
      </w:hyperlink>
      <w:r>
        <w:t xml:space="preserve"> настоящего Порядка.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3.3. В случае если информация в документах, указанных в </w:t>
      </w:r>
      <w:hyperlink w:anchor="P86" w:tooltip="3.1. Для получения субсидии получатель субсидии представляет в Министерство в срок до 10 июня текущего финансового года следующие документы:">
        <w:r>
          <w:rPr>
            <w:color w:val="0000FF"/>
          </w:rPr>
          <w:t>пункте 3.1</w:t>
        </w:r>
      </w:hyperlink>
      <w:r>
        <w:t xml:space="preserve"> настоящего Порядка, содержит персональные данные, Министерством обеспечивается защита персональных данных в соответ</w:t>
      </w:r>
      <w:r>
        <w:t>ствии с законодательством Российской Федерации о защите персональных данных.</w:t>
      </w:r>
    </w:p>
    <w:p w:rsidR="003112A5" w:rsidRDefault="001A68BD">
      <w:pPr>
        <w:pStyle w:val="ConsPlusNormal0"/>
        <w:spacing w:before="240"/>
        <w:ind w:firstLine="540"/>
        <w:jc w:val="both"/>
      </w:pPr>
      <w:bookmarkStart w:id="12" w:name="P99"/>
      <w:bookmarkEnd w:id="12"/>
      <w:r>
        <w:t xml:space="preserve">3.4. Министерство в течение 10 (десяти) рабочих дней со дня поступления документов, указанных в </w:t>
      </w:r>
      <w:hyperlink w:anchor="P86" w:tooltip="3.1. Для получения субсидии получатель субсидии представляет в Министерство в срок до 10 июня текущего финансового года следующие документы:">
        <w:r>
          <w:rPr>
            <w:color w:val="0000FF"/>
          </w:rPr>
          <w:t>пункте 3.1</w:t>
        </w:r>
      </w:hyperlink>
      <w:r>
        <w:t xml:space="preserve"> настоящего Порядка, проверяет их на предмет соответствия условиям, указанны</w:t>
      </w:r>
      <w:r>
        <w:t xml:space="preserve">м в </w:t>
      </w:r>
      <w:hyperlink w:anchor="P70" w:tooltip="2. Условия предоставления субсидии">
        <w:r>
          <w:rPr>
            <w:color w:val="0000FF"/>
          </w:rPr>
          <w:t>разделе 2</w:t>
        </w:r>
      </w:hyperlink>
      <w:r>
        <w:t xml:space="preserve"> настоящего Порядка, а также соответствия получателя субсидии требованиям названного раздела, обоснованности объемов средств, заявленных по направлениям расходов, и принимает ре</w:t>
      </w:r>
      <w:r>
        <w:t>шение о предоставлении субсидии или отказе в предоставлении субсидии.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3.5. Основаниями для отказа в предоставлении субсидии являются: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86" w:tooltip="3.1. Для получения субсидии получатель субсидии представляет в Министерство в срок до 10 июня текущего финансового года следующие документы:">
        <w:r>
          <w:rPr>
            <w:color w:val="0000FF"/>
          </w:rPr>
          <w:t>пункте 3.1</w:t>
        </w:r>
      </w:hyperlink>
      <w:r>
        <w:t xml:space="preserve"> настоящего Порядка, или непредставление (представление не в полном объеме) указанных документов;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- </w:t>
      </w:r>
      <w:proofErr w:type="gramStart"/>
      <w:r>
        <w:t>установ</w:t>
      </w:r>
      <w:r>
        <w:t>ление факта недостоверности</w:t>
      </w:r>
      <w:proofErr w:type="gramEnd"/>
      <w:r>
        <w:t xml:space="preserve"> представленной получателем субсидии информации;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- необоснованность финансово-экономических расчетов;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- несоответствие получателя субсидии условиям предоставления субсидии, предусмотренным </w:t>
      </w:r>
      <w:hyperlink w:anchor="P72" w:tooltip="2.1. Условиями предоставления субсидии являются:">
        <w:r>
          <w:rPr>
            <w:color w:val="0000FF"/>
          </w:rPr>
          <w:t>пунктом 2.1</w:t>
        </w:r>
      </w:hyperlink>
      <w:r>
        <w:t xml:space="preserve"> настоящего Порядка.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3.6. В случае отсутствия отдельных документов и (или) при наличии иных замечаний Министерство в течение 3 (трех) рабочих дней, следующих за днем окончания рассмотрения документов, напр</w:t>
      </w:r>
      <w:r>
        <w:t xml:space="preserve">авляет получателю субсидии уведомление о принятии решения об отказе в предоставлении субсидии с перечнем недостающих документов и рекомендацией представить </w:t>
      </w:r>
      <w:r>
        <w:lastRenderedPageBreak/>
        <w:t>необходимые документы и устранить замечания в течение 5 (пяти) рабочих дней со дня получения уведомл</w:t>
      </w:r>
      <w:r>
        <w:t>ения.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3.7. После устранения причин, послуживших основанием для отказа в предоставлении субсидии, получатель субсидии вправе повторно обратиться в Министерство за получением субсидии.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Повторное рассмотрение документов на предоставление субсидии осуществляет</w:t>
      </w:r>
      <w:r>
        <w:t xml:space="preserve">ся по правилам, установленным в </w:t>
      </w:r>
      <w:hyperlink w:anchor="P86" w:tooltip="3.1. Для получения субсидии получатель субсидии представляет в Министерство в срок до 10 июня текущего финансового года следующие документы:">
        <w:r>
          <w:rPr>
            <w:color w:val="0000FF"/>
          </w:rPr>
          <w:t>пунктах 3.1</w:t>
        </w:r>
      </w:hyperlink>
      <w:r>
        <w:t xml:space="preserve"> - </w:t>
      </w:r>
      <w:hyperlink w:anchor="P99" w:tooltip="3.4. Министерство в течение 10 (десяти) рабочих дней со дня поступления документов, указанных в пункте 3.1 настоящего Порядка, проверяет их на предмет соответствия условиям, указанным в разделе 2 настоящего Порядка, а также соответствия получателя субсидии тре">
        <w:r>
          <w:rPr>
            <w:color w:val="0000FF"/>
          </w:rPr>
          <w:t>3.</w:t>
        </w:r>
        <w:r>
          <w:rPr>
            <w:color w:val="0000FF"/>
          </w:rPr>
          <w:t>4</w:t>
        </w:r>
      </w:hyperlink>
      <w:r>
        <w:t xml:space="preserve"> настоящего Порядка.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3.8. После принятия решения о предоставлении субсидии получателю субсидии в течение 5 (пяти) рабочих дней посредством государственной интегрированной информационной системы управления общественными финансами "Электронный бюджет" (дале</w:t>
      </w:r>
      <w:r>
        <w:t>е - ГИИС "Электронный бюджет") направляется проект соглашения для подписания, который подписывается им в течение 5 (пяти) рабочих дней со дня получения проекта соглашения в данной системе.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3.9. Соглашение и дополнительные соглашения к соглашению, предусмат</w:t>
      </w:r>
      <w:r>
        <w:t>ривающие внесение в него изменений или его расторжение, заключаются в соответствии с типовой формой, утверждаемой Министерством финансов Мурманской области.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3.10. Получатель субсидии обязуется при заключении договоров (соглашений) в целях исполнения обязат</w:t>
      </w:r>
      <w:r>
        <w:t>ельств по соглашению включать в эти договоры (соглашения) пункт о согласии поставщика (подрядчика, исполнителя) на осуществление Министерством проверок соблюдения поставщиком (подрядчиком, исполнителем) условий и порядка предоставления субсидии, в том числ</w:t>
      </w:r>
      <w:r>
        <w:t>е в части достижения результатов предоставления субсидии, а также органами государственного финансового контроля Мурманской области проверки в соответствии со статьями 268.1 и 269.2 Бюджетного кодекса Российской Федерации.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3.11. В случае уменьшения Министе</w:t>
      </w:r>
      <w:r>
        <w:t>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определенном в соглашении, в соглашение включается условие о согласовании нов</w:t>
      </w:r>
      <w:r>
        <w:t>ых условий соглашения или о расторжении соглашения при недостижении согласия по новым условиям.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3.12.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</w:t>
      </w:r>
      <w:r>
        <w:t>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3.13. При реорганизации получателя субсидии в форме разделения, выделения, а также при ликвидации получателя субсидии, явл</w:t>
      </w:r>
      <w:r>
        <w:t>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</w:t>
      </w:r>
      <w:r>
        <w:t>точником финансового обеспечения которых является субсидия, и возврате неиспользованного остатка субсидии в областной бюджет.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3.14. Получатель субсидии может перераспределять средства субсидии между направлениями расходов, подлежащими финансированию, при у</w:t>
      </w:r>
      <w:r>
        <w:t xml:space="preserve">словии заключения </w:t>
      </w:r>
      <w:r>
        <w:lastRenderedPageBreak/>
        <w:t>дополнительного соглашения к соглашению о предоставлении субсидии.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3.15. В случае отсутствия потребности не использованные на 20 декабря финансового года средства субсидии подлежат перечислению в доход областного бюджета.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Принятие и согла</w:t>
      </w:r>
      <w:r>
        <w:t>сование решения о наличии потребности в остатках субсидии осуществляется Министерством в соответствии с Порядком принятия и согласования решений главных распорядителей средств областного бюджета о наличии потребности в остатках субсидий, в том числе гранто</w:t>
      </w:r>
      <w:r>
        <w:t>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 потребности, утвержден</w:t>
      </w:r>
      <w:r>
        <w:t>ным постановлением Правительства Мурманской области от 22.04.2022 N 314-ПП.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Title0"/>
        <w:jc w:val="center"/>
        <w:outlineLvl w:val="1"/>
      </w:pPr>
      <w:r>
        <w:t>4. Финансирование получателя субсидии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r>
        <w:t>4.1. Размер субсидии (S), предоставляемой получателю из областного бюджета, рассчитывается по формуле: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jc w:val="center"/>
      </w:pPr>
      <w:r>
        <w:rPr>
          <w:noProof/>
          <w:position w:val="-12"/>
        </w:rPr>
        <w:drawing>
          <wp:inline distT="0" distB="0" distL="0" distR="0">
            <wp:extent cx="1108710" cy="30861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r>
        <w:t>где:</w:t>
      </w:r>
    </w:p>
    <w:p w:rsidR="003112A5" w:rsidRDefault="001A68BD">
      <w:pPr>
        <w:pStyle w:val="ConsPlusNormal0"/>
        <w:spacing w:before="240"/>
        <w:ind w:firstLine="540"/>
        <w:jc w:val="both"/>
      </w:pPr>
      <w:proofErr w:type="spellStart"/>
      <w:r>
        <w:t>Zрасх</w:t>
      </w:r>
      <w:proofErr w:type="spellEnd"/>
      <w:r>
        <w:t xml:space="preserve">. - затраты, указанные получателем в смете расходов, представляемой в соответствии с </w:t>
      </w:r>
      <w:hyperlink w:anchor="P90" w:tooltip="3.1.4. Смету расходов в соответствии с направлениями расходов, установленными в приложении N 2 к настоящему Порядку.">
        <w:r>
          <w:rPr>
            <w:color w:val="0000FF"/>
          </w:rPr>
          <w:t>пунктом 3.1.4</w:t>
        </w:r>
      </w:hyperlink>
      <w:r>
        <w:t xml:space="preserve"> настоящего Порядка, по направлениям расходов средств субсидии, установленным в </w:t>
      </w:r>
      <w:hyperlink w:anchor="P258" w:tooltip="ПЕРЕЧЕНЬ">
        <w:r>
          <w:rPr>
            <w:color w:val="0000FF"/>
          </w:rPr>
          <w:t>приложении N 2</w:t>
        </w:r>
      </w:hyperlink>
      <w:r>
        <w:t xml:space="preserve"> к настоящему </w:t>
      </w:r>
      <w:r>
        <w:t>Порядку.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4.2. Перечисление средств субсидии осуществляется Министерством на основании плана-графика, установленного в приложении к соглашению, в соответствии с бюджетным законодательством Российской Федерации на расчетный счет получателя субсидии, открытый</w:t>
      </w:r>
      <w:r>
        <w:t xml:space="preserve"> в российской кредитной организации, не позднее 10 (десятого) рабочего дня, следующего за днем поступления Министерству средств областного бюджета.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План-график составляется исходя из ожидаемых сроков оплаты поставленных товаров, выполненных работ, оказанны</w:t>
      </w:r>
      <w:r>
        <w:t>х услуг.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Title0"/>
        <w:jc w:val="center"/>
        <w:outlineLvl w:val="1"/>
      </w:pPr>
      <w:r>
        <w:t>5. Результат предоставления субсидии и его характеристика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r>
        <w:t>5.1. Результатом предоставления субсидии является численность лиц, прошедших обучение в рамках программы.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Точные даты завершения мероприятий и конечное значение результата предоставления субсидии устанавливаются в соглашении.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Title0"/>
        <w:jc w:val="center"/>
        <w:outlineLvl w:val="1"/>
      </w:pPr>
      <w:r>
        <w:t>6. Требования к отчетности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bookmarkStart w:id="13" w:name="P136"/>
      <w:bookmarkEnd w:id="13"/>
      <w:r>
        <w:t>6</w:t>
      </w:r>
      <w:r>
        <w:t xml:space="preserve">.1. Получатель субсидии в срок до 10-го числа следующего за отчетным кварталом месяца, а в четвертом квартале до 20 декабря текущего года в соответствии с формами, установленными </w:t>
      </w:r>
      <w:r>
        <w:lastRenderedPageBreak/>
        <w:t>соглашением, посредством ГИПС "Электронный бюджет" предоставляет Министерству</w:t>
      </w:r>
      <w:r>
        <w:t xml:space="preserve"> следующую отчетность: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- отчет о достижении значений результата предоставления субсидии;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- отчет о реализации плана мероприятий по достижению результата предоставления субсидии (контрольных точек);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- отчет об осуществлении расходов, источником финансового </w:t>
      </w:r>
      <w:r>
        <w:t>обеспечения которых является субсидия.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Дополнительно в Министерство получателем субсидии направляются копии первичных учетных документов, подтверждающих оплату по направлениям расходов, установленным в </w:t>
      </w:r>
      <w:hyperlink w:anchor="P258" w:tooltip="ПЕРЕЧЕНЬ">
        <w:r>
          <w:rPr>
            <w:color w:val="0000FF"/>
          </w:rPr>
          <w:t xml:space="preserve">приложении N </w:t>
        </w:r>
        <w:r>
          <w:rPr>
            <w:color w:val="0000FF"/>
          </w:rPr>
          <w:t>2</w:t>
        </w:r>
      </w:hyperlink>
      <w:r>
        <w:t xml:space="preserve"> к настоящему Порядку.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6.2. Получатель субсидии несет ответственность за своевременность и достоверность представленных отчетов, указанных в </w:t>
      </w:r>
      <w:hyperlink w:anchor="P136" w:tooltip="6.1. Получатель субсидии в срок до 10-го числа следующего за отчетным кварталом месяца, а в четвертом квартале до 20 декабря текущего года в соответствии с формами, установленными соглашением, посредством ГИПС &quot;Электронный бюджет&quot; предоставляет Министерству сл">
        <w:r>
          <w:rPr>
            <w:color w:val="0000FF"/>
          </w:rPr>
          <w:t>пункте 6.1</w:t>
        </w:r>
      </w:hyperlink>
      <w:r>
        <w:t xml:space="preserve"> настоящего Порядка, и прилагаемых к ним документов (далее - отче</w:t>
      </w:r>
      <w:r>
        <w:t>ты).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6.3. Министерство осуществляет проверку отчетов в срок, не превышающий 20 рабочих дней со дня представления таких отчетов.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Проверка отчетов осуществляется комиссией Министерства (далее - комиссия). Положение о комиссии и ее состав утверждаются приказом Министерства.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По результатам рассмотрения отчетов Министерство принимает решение о принятии либо отклонении представленной отч</w:t>
      </w:r>
      <w:r>
        <w:t>етности, о чем информирует получателя посредством ГИПС "Электронный бюджет".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В случае отклонения отчетности она возвращается получателю субсидии для устранения недостатков и повторного представления в срок, не превышающий 5 (пяти) рабочих дней с даты откло</w:t>
      </w:r>
      <w:r>
        <w:t>нения отчетности.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6.4. Датой принятия Министерством отчетов, указанных в </w:t>
      </w:r>
      <w:hyperlink w:anchor="P136" w:tooltip="6.1. Получатель субсидии в срок до 10-го числа следующего за отчетным кварталом месяца, а в четвертом квартале до 20 декабря текущего года в соответствии с формами, установленными соглашением, посредством ГИПС &quot;Электронный бюджет&quot; предоставляет Министерству сл">
        <w:r>
          <w:rPr>
            <w:color w:val="0000FF"/>
          </w:rPr>
          <w:t>пункте 6.1</w:t>
        </w:r>
      </w:hyperlink>
      <w:r>
        <w:t xml:space="preserve"> настоящего Порядка, считается день их утверждения в ГИИС "Электронный бюджет".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Title0"/>
        <w:jc w:val="center"/>
        <w:outlineLvl w:val="1"/>
      </w:pPr>
      <w:r>
        <w:t>7. Требования об осуществлении контроля (мониторинга)</w:t>
      </w:r>
    </w:p>
    <w:p w:rsidR="003112A5" w:rsidRDefault="001A68BD">
      <w:pPr>
        <w:pStyle w:val="ConsPlusTitle0"/>
        <w:jc w:val="center"/>
      </w:pPr>
      <w:r>
        <w:t>за соблюдением условий, целей и порядка предоставления</w:t>
      </w:r>
    </w:p>
    <w:p w:rsidR="003112A5" w:rsidRDefault="001A68BD">
      <w:pPr>
        <w:pStyle w:val="ConsPlusTitle0"/>
        <w:jc w:val="center"/>
      </w:pPr>
      <w:r>
        <w:t>субсидии и ответственность за их нарушение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r>
        <w:t>7.1. Мониторинг достижения результата предоставления субсидии, значения которого определены соглашением, и событий, отражающих факт завершения соответствующ</w:t>
      </w:r>
      <w:r>
        <w:t>его мероприятия по получению результата предоставления субсидии (контрольная точка), осуществляется Министерством в порядке и по формам, которые установлены приказом Министерства финансов Российской Федерации от 27.04.2024 N 53Н "Об утверждении Порядка про</w:t>
      </w:r>
      <w:r>
        <w:t xml:space="preserve">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</w:t>
      </w:r>
      <w:r>
        <w:t xml:space="preserve">услуг" </w:t>
      </w:r>
      <w:r>
        <w:lastRenderedPageBreak/>
        <w:t>(далее - Порядок проведения мониторинга).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Контрольные точки с указанием плановых дат их достижения устанавливаются в соглашении в соответствии с планом мероприятий по достижению результата предоставления субсидии, формируемым Министерством по форме </w:t>
      </w:r>
      <w:r>
        <w:t>и в сроки, установленные Порядком проведения мониторинга.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7.2. Министерство осуществляет проверку соблюдения получателем субсидии порядка и условий предоставления субсидии, в том числе в части достижения результатов предоставления субсидии. Органы государс</w:t>
      </w:r>
      <w:r>
        <w:t>твенного финансового контроля Мурманской области осуществляют проверку в соответствии со статьями 268.1 и 269.2 Бюджетного кодекса Российской Федерации.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7.3. В случае выявления при проведении проверок нарушений получателем субсидии условий ее предоставлени</w:t>
      </w:r>
      <w:r>
        <w:t>я, в том числе в случае недостижения значений результатов предоставления субсидии, Министерство одновременно с подписанием акта (справки) направляет получателю субсидии уведомление о нарушениях условий и порядка предоставления субсидии (далее - уведомление</w:t>
      </w:r>
      <w:r>
        <w:t>), в котором указываются выявленные нарушения, подлежащая возврату в бюджет сумма денежных средств, а также сроки ее возврата, код бюджетной классификации Российской Федерации, по которому должен быть осуществлен возврат субсидии.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7.4. Возврат субсидии осу</w:t>
      </w:r>
      <w:r>
        <w:t>ществляется получателем субсидии в следующих случаях и размере:</w:t>
      </w:r>
    </w:p>
    <w:p w:rsidR="003112A5" w:rsidRDefault="001A68BD">
      <w:pPr>
        <w:pStyle w:val="ConsPlusNormal0"/>
        <w:spacing w:before="240"/>
        <w:ind w:firstLine="540"/>
        <w:jc w:val="both"/>
      </w:pPr>
      <w:bookmarkStart w:id="14" w:name="P157"/>
      <w:bookmarkEnd w:id="14"/>
      <w:r>
        <w:t>7.4.1. В случае образования остатка субсидии, не использованного в отчетном финансовом году, при отсутствии потребности в таком остатке - в объеме, равном неиспользованному остатку.</w:t>
      </w:r>
    </w:p>
    <w:p w:rsidR="003112A5" w:rsidRDefault="001A68BD">
      <w:pPr>
        <w:pStyle w:val="ConsPlusNormal0"/>
        <w:spacing w:before="240"/>
        <w:ind w:firstLine="540"/>
        <w:jc w:val="both"/>
      </w:pPr>
      <w:bookmarkStart w:id="15" w:name="P158"/>
      <w:bookmarkEnd w:id="15"/>
      <w:r>
        <w:t>7.4.2. В с</w:t>
      </w:r>
      <w:r>
        <w:t>лучае нарушения получателем субсидии условий предоставления субсидии, выявленного в том числе по фактам проверок, проведенных Министерством и (или) органами государственного финансового контроля Мурманской области, субсидия возвращается получателем субсиди</w:t>
      </w:r>
      <w:r>
        <w:t>и в полном объеме.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7.4.3. В случае выявления фактов нецелевого использования субсидия подлежит возврату в областной бюджет в объеме, равном сумме нецелевого использования.</w:t>
      </w:r>
    </w:p>
    <w:p w:rsidR="003112A5" w:rsidRDefault="001A68BD">
      <w:pPr>
        <w:pStyle w:val="ConsPlusNormal0"/>
        <w:spacing w:before="240"/>
        <w:ind w:firstLine="540"/>
        <w:jc w:val="both"/>
      </w:pPr>
      <w:bookmarkStart w:id="16" w:name="P160"/>
      <w:bookmarkEnd w:id="16"/>
      <w:r>
        <w:t>7.4.4. В случае недостижения получателем субсидии значений результата предоставления</w:t>
      </w:r>
      <w:r>
        <w:t xml:space="preserve"> субсидии, выявленного в том числе по фактам проверок, проведенных Министерством и (или) органами государственного финансового контроля Мурманской области, получателем субсидии осуществляется возврат средств субсидии в бюджет Мурманской области в размере с</w:t>
      </w:r>
      <w:r>
        <w:t>редств, рассчитываемом по следующей формуле: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jc w:val="center"/>
      </w:pPr>
      <w:proofErr w:type="spellStart"/>
      <w:r>
        <w:t>V</w:t>
      </w:r>
      <w:r>
        <w:rPr>
          <w:vertAlign w:val="subscript"/>
        </w:rPr>
        <w:t>возврата</w:t>
      </w:r>
      <w:proofErr w:type="spellEnd"/>
      <w:r>
        <w:t xml:space="preserve"> = </w:t>
      </w: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x k, где: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proofErr w:type="spellStart"/>
      <w:r>
        <w:t>V</w:t>
      </w:r>
      <w:r>
        <w:rPr>
          <w:vertAlign w:val="subscript"/>
        </w:rPr>
        <w:t>возврата</w:t>
      </w:r>
      <w:proofErr w:type="spellEnd"/>
      <w:r>
        <w:t xml:space="preserve"> - объем средств, подлежащих возврату в бюджет Мурманской области;</w:t>
      </w:r>
    </w:p>
    <w:p w:rsidR="003112A5" w:rsidRDefault="001A68BD">
      <w:pPr>
        <w:pStyle w:val="ConsPlusNormal0"/>
        <w:spacing w:before="240"/>
        <w:ind w:firstLine="540"/>
        <w:jc w:val="both"/>
      </w:pP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- размер субсидии, предоставленной получателю субсидии в отчетном финансовом году;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k - коэффициент возврата субсидии.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lastRenderedPageBreak/>
        <w:t>Коэффициент возврата субсидии (k) определяется по формуле: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jc w:val="center"/>
      </w:pPr>
      <w:r>
        <w:t>k = 1 - T / S, где: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r>
        <w:t>T - фактически достигнутое значение результата предоставления субсидии на отчетную дату;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S - плановое значение результата предоставления субсидии, установленное соглашением.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7.5. Возврат субсидии в случае, установленном в </w:t>
      </w:r>
      <w:hyperlink w:anchor="P157" w:tooltip="7.4.1. В случае образования остатка субсидии, не использованного в отчетном финансовом году, при отсутствии потребности в таком остатке - в объеме, равном неиспользованному остатку.">
        <w:r>
          <w:rPr>
            <w:color w:val="0000FF"/>
          </w:rPr>
          <w:t>подпункте 7.4.1 пункта 7.4</w:t>
        </w:r>
      </w:hyperlink>
      <w:r>
        <w:t xml:space="preserve"> настоящего Порядка, осуществляется в срок до 20 декабря текущего финансового года.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 xml:space="preserve">7.6. Возврат субсидии в случаях, указанных в </w:t>
      </w:r>
      <w:hyperlink w:anchor="P158" w:tooltip="7.4.2. В случае нарушения получателем субсидии условий предоставления субсидии, выявленного в том числе по фактам проверок, проведенных Министерством и (или) органами государственного финансового контроля Мурманской области, субсидия возвращается получателем с">
        <w:r>
          <w:rPr>
            <w:color w:val="0000FF"/>
          </w:rPr>
          <w:t>подпунктах 7.4.2</w:t>
        </w:r>
      </w:hyperlink>
      <w:r>
        <w:t xml:space="preserve"> - </w:t>
      </w:r>
      <w:hyperlink w:anchor="P160" w:tooltip="7.4.4. В случае недостижения получателем субсидии значений результата предоставления субсидии, выявленного в том числе по фактам проверок, проведенных Министерством и (или) органами государственного финансового контроля Мурманской области, получателем субсидии">
        <w:r>
          <w:rPr>
            <w:color w:val="0000FF"/>
          </w:rPr>
          <w:t>7.4.4 пункта 7.4</w:t>
        </w:r>
      </w:hyperlink>
      <w:r>
        <w:t xml:space="preserve"> настоящего Порядка, осуществляется получателем субсидии в следующем порядке: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а) в течение 7 (семи) рабочих дней со дня принятия Министерством решения о необ</w:t>
      </w:r>
      <w:r>
        <w:t>ходимости возврата выделенных бюджетных средств получателю субсидии направляется уведомление;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б) получатель субсидии в течение 10 (десяти) рабочих дней со дня получения уведомления обязан перечислить в доход областного бюджета на казначейский счет, открыты</w:t>
      </w:r>
      <w:r>
        <w:t>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субсидию), указанную в уведомлении сум</w:t>
      </w:r>
      <w:r>
        <w:t>му средств.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В случае если получатель субсидии по истечении указанного в уведомлении срока не осуществил возврат бюджетных средств, эти средства взыскиваются в судебном порядке.</w:t>
      </w:r>
    </w:p>
    <w:p w:rsidR="003112A5" w:rsidRDefault="001A68BD">
      <w:pPr>
        <w:pStyle w:val="ConsPlusNormal0"/>
        <w:spacing w:before="240"/>
        <w:ind w:firstLine="540"/>
        <w:jc w:val="both"/>
      </w:pPr>
      <w:r>
        <w:t>7.7. Средства, полученные на основании договоров (соглашений), заключенных с по</w:t>
      </w:r>
      <w:r>
        <w:t>лучателем субсидии, возвращаются в областной бюджет в порядке и сроки, установленные настоящим разделом.</w:t>
      </w: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jc w:val="right"/>
        <w:outlineLvl w:val="1"/>
      </w:pPr>
      <w:r>
        <w:t>Приложение N 1</w:t>
      </w:r>
    </w:p>
    <w:p w:rsidR="003112A5" w:rsidRDefault="001A68BD">
      <w:pPr>
        <w:pStyle w:val="ConsPlusNormal0"/>
        <w:jc w:val="right"/>
      </w:pPr>
      <w:r>
        <w:t>к Порядку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jc w:val="right"/>
      </w:pPr>
      <w:r>
        <w:t>Форма</w:t>
      </w:r>
    </w:p>
    <w:p w:rsidR="003112A5" w:rsidRDefault="003112A5">
      <w:pPr>
        <w:pStyle w:val="ConsPlusNormal0"/>
        <w:jc w:val="both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6"/>
        <w:gridCol w:w="3326"/>
        <w:gridCol w:w="575"/>
        <w:gridCol w:w="1239"/>
        <w:gridCol w:w="1323"/>
        <w:gridCol w:w="1984"/>
      </w:tblGrid>
      <w:tr w:rsidR="003112A5">
        <w:tc>
          <w:tcPr>
            <w:tcW w:w="9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12A5" w:rsidRDefault="001A68BD">
            <w:pPr>
              <w:pStyle w:val="ConsPlusNormal0"/>
              <w:jc w:val="right"/>
            </w:pPr>
            <w:r>
              <w:t>В Министерство</w:t>
            </w:r>
          </w:p>
          <w:p w:rsidR="003112A5" w:rsidRDefault="001A68BD">
            <w:pPr>
              <w:pStyle w:val="ConsPlusNormal0"/>
              <w:jc w:val="right"/>
            </w:pPr>
            <w:r>
              <w:t>внутренней политики</w:t>
            </w:r>
          </w:p>
          <w:p w:rsidR="003112A5" w:rsidRDefault="001A68BD">
            <w:pPr>
              <w:pStyle w:val="ConsPlusNormal0"/>
              <w:jc w:val="right"/>
            </w:pPr>
            <w:r>
              <w:t>Мурманской области</w:t>
            </w:r>
          </w:p>
        </w:tc>
      </w:tr>
      <w:tr w:rsidR="003112A5">
        <w:tc>
          <w:tcPr>
            <w:tcW w:w="9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12A5" w:rsidRDefault="003112A5">
            <w:pPr>
              <w:pStyle w:val="ConsPlusNormal0"/>
            </w:pPr>
          </w:p>
        </w:tc>
      </w:tr>
      <w:tr w:rsidR="003112A5">
        <w:tc>
          <w:tcPr>
            <w:tcW w:w="9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12A5" w:rsidRDefault="001A68BD">
            <w:pPr>
              <w:pStyle w:val="ConsPlusNormal0"/>
              <w:jc w:val="center"/>
            </w:pPr>
            <w:bookmarkStart w:id="17" w:name="P193"/>
            <w:bookmarkEnd w:id="17"/>
            <w:r>
              <w:t>ЗАЯВКА НА ПРЕДОСТАВЛЕНИЕ СУБСИДИИ</w:t>
            </w:r>
          </w:p>
          <w:p w:rsidR="003112A5" w:rsidRDefault="001A68BD">
            <w:pPr>
              <w:pStyle w:val="ConsPlusNormal0"/>
              <w:jc w:val="center"/>
            </w:pPr>
            <w:r>
              <w:t>ИЗ ОБЛАСТНОГО БЮДЖЕТА НА ФИНАНСОВОЕ ОБЕСПЕЧЕНИЕ</w:t>
            </w:r>
          </w:p>
          <w:p w:rsidR="003112A5" w:rsidRDefault="001A68BD">
            <w:pPr>
              <w:pStyle w:val="ConsPlusNormal0"/>
              <w:jc w:val="center"/>
            </w:pPr>
            <w:r>
              <w:lastRenderedPageBreak/>
              <w:t>ЗАТРАТ АВТОНОМНОЙ НЕКОММЕРЧЕСКОЙ ОРГАНИЗАЦИИ</w:t>
            </w:r>
          </w:p>
          <w:p w:rsidR="003112A5" w:rsidRDefault="001A68BD">
            <w:pPr>
              <w:pStyle w:val="ConsPlusNormal0"/>
              <w:jc w:val="center"/>
            </w:pPr>
            <w:r>
              <w:t>"АРКТИЧЕСКИЙ ЦЕНТР КОМПЕТЕНЦИЙ", СВЯЗАННЫХ</w:t>
            </w:r>
          </w:p>
          <w:p w:rsidR="003112A5" w:rsidRDefault="001A68BD">
            <w:pPr>
              <w:pStyle w:val="ConsPlusNormal0"/>
              <w:jc w:val="center"/>
            </w:pPr>
            <w:r>
              <w:t>С РЕАЛИЗАЦИЕЙ МЕРОПРИЯТИЙ РЕГИОНАЛЬНОЙ</w:t>
            </w:r>
          </w:p>
          <w:p w:rsidR="003112A5" w:rsidRDefault="001A68BD">
            <w:pPr>
              <w:pStyle w:val="ConsPlusNormal0"/>
              <w:jc w:val="center"/>
            </w:pPr>
            <w:r>
              <w:t>ПРОГРАММЫ "ГЕРОИ СЕВЕРА"</w:t>
            </w:r>
          </w:p>
        </w:tc>
      </w:tr>
      <w:tr w:rsidR="003112A5">
        <w:tc>
          <w:tcPr>
            <w:tcW w:w="9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12A5" w:rsidRDefault="003112A5">
            <w:pPr>
              <w:pStyle w:val="ConsPlusNormal0"/>
            </w:pPr>
          </w:p>
        </w:tc>
      </w:tr>
      <w:tr w:rsidR="003112A5">
        <w:tc>
          <w:tcPr>
            <w:tcW w:w="9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12A5" w:rsidRDefault="001A68BD">
            <w:pPr>
              <w:pStyle w:val="ConsPlusNormal0"/>
              <w:ind w:firstLine="283"/>
              <w:jc w:val="both"/>
            </w:pPr>
            <w:r>
              <w:t>Прошу предоставить из областного бюджета субсидию на финансовое обеспечение затрат автономной некоммерческой организации "Арктический центр компетенций", связанных с реализацией мероприятий региональной программы "Герои Севера" (далее - Субсидия).</w:t>
            </w:r>
          </w:p>
          <w:p w:rsidR="003112A5" w:rsidRDefault="001A68BD">
            <w:pPr>
              <w:pStyle w:val="ConsPlusNormal0"/>
              <w:ind w:firstLine="283"/>
              <w:jc w:val="both"/>
            </w:pPr>
            <w:r>
              <w:t>Настоящи</w:t>
            </w:r>
            <w:r>
              <w:t xml:space="preserve">м подтверждаю, что на первое число месяца, предшествующего месяцу подачи заявки, автономная некоммерческая организация "Арктический центр компетенций" соответствует требованиям, указанным в </w:t>
            </w:r>
            <w:hyperlink w:anchor="P76" w:tooltip="2.2. Требования, которым должен соответствовать получатель субсидии на первое число месяца, предшествующего месяцу подачи заявки:">
              <w:r>
                <w:rPr>
                  <w:color w:val="0000FF"/>
                </w:rPr>
                <w:t>пункте 2.2</w:t>
              </w:r>
            </w:hyperlink>
            <w:r>
              <w:t xml:space="preserve"> Порядка предоставления из областного бюджета субсидии на финансовое обеспечение затрат автономной некоммерческой организации "Арктический центр компет</w:t>
            </w:r>
            <w:r>
              <w:t>енций", связанных с реализацией мероприятий региональной программы "Герои Севера" (далее - Порядок), а именно:</w:t>
            </w:r>
          </w:p>
          <w:p w:rsidR="003112A5" w:rsidRDefault="001A68BD">
            <w:pPr>
              <w:pStyle w:val="ConsPlusNormal0"/>
              <w:ind w:firstLine="283"/>
              <w:jc w:val="both"/>
            </w:pPr>
            <w:r>
      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</w:t>
            </w:r>
            <w:r>
              <w:t>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</w:t>
            </w:r>
            <w:r>
              <w:t xml:space="preserve">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      </w:r>
          </w:p>
          <w:p w:rsidR="003112A5" w:rsidRDefault="001A68BD">
            <w:pPr>
              <w:pStyle w:val="ConsPlusNormal0"/>
              <w:ind w:firstLine="283"/>
              <w:jc w:val="both"/>
            </w:pPr>
            <w:r>
              <w:t xml:space="preserve">- не является получателем средств из областного бюджета </w:t>
            </w:r>
            <w:r>
              <w:t xml:space="preserve">на основании иных нормативных правовых актов Мурманской области на цель, установленную </w:t>
            </w:r>
            <w:hyperlink w:anchor="P64" w:tooltip="1.2. Целью предоставления субсидии является финансовое обеспечение затрат автономной некоммерческой организации &quot;Арктический центр компетенций&quot;, связанных с реализацией мероприятий региональной программы &quot;Герои Севера&quot;, предусматривающей проведение мероприятий">
              <w:r>
                <w:rPr>
                  <w:color w:val="0000FF"/>
                </w:rPr>
                <w:t>пунктом 1.2</w:t>
              </w:r>
            </w:hyperlink>
            <w:r>
              <w:t xml:space="preserve"> Порядка;</w:t>
            </w:r>
          </w:p>
          <w:p w:rsidR="003112A5" w:rsidRDefault="001A68BD">
            <w:pPr>
              <w:pStyle w:val="ConsPlusNormal0"/>
              <w:ind w:firstLine="283"/>
              <w:jc w:val="both"/>
            </w:pPr>
            <w:r>
              <w:t>- не находится в перечне организаций и физических лиц, в отношении которых имеются сведения об их причастнос</w:t>
            </w:r>
            <w:r>
              <w:t>ти к экстремистской деятельности или терроризму;</w:t>
            </w:r>
          </w:p>
          <w:p w:rsidR="003112A5" w:rsidRDefault="001A68BD">
            <w:pPr>
              <w:pStyle w:val="ConsPlusNormal0"/>
              <w:ind w:firstLine="283"/>
              <w:jc w:val="both"/>
            </w:pPr>
            <w:r>
              <w:t>-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</w:t>
            </w:r>
            <w:r>
              <w:t>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3112A5" w:rsidRDefault="001A68BD">
            <w:pPr>
              <w:pStyle w:val="ConsPlusNormal0"/>
              <w:ind w:firstLine="283"/>
              <w:jc w:val="both"/>
            </w:pPr>
            <w:r>
              <w:t>- не является иностранным агентом в соответствии с Федеральным законом от 14.07.2022 N 255-ФЗ "О контроле за деятел</w:t>
            </w:r>
            <w:r>
              <w:t>ьностью лиц, находящихся под иностранным влиянием".</w:t>
            </w:r>
          </w:p>
        </w:tc>
      </w:tr>
      <w:tr w:rsidR="003112A5">
        <w:tc>
          <w:tcPr>
            <w:tcW w:w="9033" w:type="dxa"/>
            <w:gridSpan w:val="6"/>
            <w:tcBorders>
              <w:top w:val="nil"/>
              <w:left w:val="nil"/>
              <w:right w:val="nil"/>
            </w:tcBorders>
          </w:tcPr>
          <w:p w:rsidR="003112A5" w:rsidRDefault="003112A5">
            <w:pPr>
              <w:pStyle w:val="ConsPlusNormal0"/>
            </w:pPr>
          </w:p>
        </w:tc>
      </w:tr>
      <w:tr w:rsidR="003112A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6" w:type="dxa"/>
          </w:tcPr>
          <w:p w:rsidR="003112A5" w:rsidRDefault="001A68BD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463" w:type="dxa"/>
            <w:gridSpan w:val="4"/>
          </w:tcPr>
          <w:p w:rsidR="003112A5" w:rsidRDefault="001A68BD">
            <w:pPr>
              <w:pStyle w:val="ConsPlusNormal0"/>
              <w:jc w:val="center"/>
            </w:pPr>
            <w:r>
              <w:t xml:space="preserve">Направление расходов в соответствии с </w:t>
            </w:r>
            <w:hyperlink w:anchor="P258" w:tooltip="ПЕРЕЧЕНЬ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Порядку</w:t>
            </w:r>
          </w:p>
        </w:tc>
        <w:tc>
          <w:tcPr>
            <w:tcW w:w="1984" w:type="dxa"/>
          </w:tcPr>
          <w:p w:rsidR="003112A5" w:rsidRDefault="001A68BD">
            <w:pPr>
              <w:pStyle w:val="ConsPlusNormal0"/>
              <w:jc w:val="center"/>
            </w:pPr>
            <w:r>
              <w:t>Сумма (рублей)</w:t>
            </w:r>
          </w:p>
        </w:tc>
      </w:tr>
      <w:tr w:rsidR="003112A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6" w:type="dxa"/>
          </w:tcPr>
          <w:p w:rsidR="003112A5" w:rsidRDefault="001A68BD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463" w:type="dxa"/>
            <w:gridSpan w:val="4"/>
          </w:tcPr>
          <w:p w:rsidR="003112A5" w:rsidRDefault="003112A5">
            <w:pPr>
              <w:pStyle w:val="ConsPlusNormal0"/>
            </w:pPr>
          </w:p>
        </w:tc>
        <w:tc>
          <w:tcPr>
            <w:tcW w:w="1984" w:type="dxa"/>
          </w:tcPr>
          <w:p w:rsidR="003112A5" w:rsidRDefault="003112A5">
            <w:pPr>
              <w:pStyle w:val="ConsPlusNormal0"/>
            </w:pPr>
          </w:p>
        </w:tc>
      </w:tr>
      <w:tr w:rsidR="003112A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6" w:type="dxa"/>
          </w:tcPr>
          <w:p w:rsidR="003112A5" w:rsidRDefault="001A68BD">
            <w:pPr>
              <w:pStyle w:val="ConsPlusNormal0"/>
              <w:jc w:val="center"/>
            </w:pPr>
            <w:r>
              <w:lastRenderedPageBreak/>
              <w:t>2</w:t>
            </w:r>
          </w:p>
        </w:tc>
        <w:tc>
          <w:tcPr>
            <w:tcW w:w="6463" w:type="dxa"/>
            <w:gridSpan w:val="4"/>
          </w:tcPr>
          <w:p w:rsidR="003112A5" w:rsidRDefault="003112A5">
            <w:pPr>
              <w:pStyle w:val="ConsPlusNormal0"/>
            </w:pPr>
          </w:p>
        </w:tc>
        <w:tc>
          <w:tcPr>
            <w:tcW w:w="1984" w:type="dxa"/>
          </w:tcPr>
          <w:p w:rsidR="003112A5" w:rsidRDefault="003112A5">
            <w:pPr>
              <w:pStyle w:val="ConsPlusNormal0"/>
            </w:pPr>
          </w:p>
        </w:tc>
      </w:tr>
      <w:tr w:rsidR="003112A5">
        <w:tc>
          <w:tcPr>
            <w:tcW w:w="9033" w:type="dxa"/>
            <w:gridSpan w:val="6"/>
            <w:tcBorders>
              <w:left w:val="nil"/>
              <w:bottom w:val="nil"/>
              <w:right w:val="nil"/>
            </w:tcBorders>
          </w:tcPr>
          <w:p w:rsidR="003112A5" w:rsidRDefault="003112A5">
            <w:pPr>
              <w:pStyle w:val="ConsPlusNormal0"/>
            </w:pPr>
          </w:p>
        </w:tc>
      </w:tr>
      <w:tr w:rsidR="003112A5">
        <w:tblPrEx>
          <w:tblBorders>
            <w:insideV w:val="nil"/>
          </w:tblBorders>
        </w:tblPrEx>
        <w:tc>
          <w:tcPr>
            <w:tcW w:w="4487" w:type="dxa"/>
            <w:gridSpan w:val="3"/>
            <w:tcBorders>
              <w:top w:val="nil"/>
              <w:bottom w:val="nil"/>
            </w:tcBorders>
          </w:tcPr>
          <w:p w:rsidR="003112A5" w:rsidRDefault="001A68BD">
            <w:pPr>
              <w:pStyle w:val="ConsPlusNormal0"/>
              <w:ind w:firstLine="283"/>
              <w:jc w:val="both"/>
            </w:pPr>
            <w:r>
              <w:t>Общий объем Субсидии составляет</w:t>
            </w:r>
          </w:p>
        </w:tc>
        <w:tc>
          <w:tcPr>
            <w:tcW w:w="2562" w:type="dxa"/>
            <w:gridSpan w:val="2"/>
            <w:tcBorders>
              <w:top w:val="nil"/>
            </w:tcBorders>
          </w:tcPr>
          <w:p w:rsidR="003112A5" w:rsidRDefault="003112A5">
            <w:pPr>
              <w:pStyle w:val="ConsPlusNormal0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112A5" w:rsidRDefault="001A68BD">
            <w:pPr>
              <w:pStyle w:val="ConsPlusNormal0"/>
              <w:jc w:val="both"/>
            </w:pPr>
            <w:r>
              <w:t>рублей.</w:t>
            </w:r>
          </w:p>
        </w:tc>
      </w:tr>
      <w:tr w:rsidR="003112A5">
        <w:tc>
          <w:tcPr>
            <w:tcW w:w="9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12A5" w:rsidRDefault="001A68BD">
            <w:pPr>
              <w:pStyle w:val="ConsPlusNormal0"/>
              <w:ind w:firstLine="283"/>
              <w:jc w:val="both"/>
            </w:pPr>
            <w:r>
              <w:t>Достоверность представленной информации гарантирую.</w:t>
            </w:r>
          </w:p>
          <w:p w:rsidR="003112A5" w:rsidRDefault="001A68BD">
            <w:pPr>
              <w:pStyle w:val="ConsPlusNormal0"/>
              <w:ind w:firstLine="283"/>
              <w:jc w:val="both"/>
            </w:pPr>
            <w:r>
              <w:t>К настоящей заявке прилагаются подтверждающие документы: всего ________ листов.</w:t>
            </w:r>
          </w:p>
        </w:tc>
      </w:tr>
      <w:tr w:rsidR="003112A5">
        <w:tc>
          <w:tcPr>
            <w:tcW w:w="9033" w:type="dxa"/>
            <w:gridSpan w:val="6"/>
            <w:tcBorders>
              <w:top w:val="nil"/>
              <w:left w:val="nil"/>
              <w:right w:val="nil"/>
            </w:tcBorders>
          </w:tcPr>
          <w:p w:rsidR="003112A5" w:rsidRDefault="003112A5">
            <w:pPr>
              <w:pStyle w:val="ConsPlusNormal0"/>
            </w:pPr>
          </w:p>
        </w:tc>
      </w:tr>
      <w:tr w:rsidR="003112A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6" w:type="dxa"/>
          </w:tcPr>
          <w:p w:rsidR="003112A5" w:rsidRDefault="001A68BD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326" w:type="dxa"/>
          </w:tcPr>
          <w:p w:rsidR="003112A5" w:rsidRDefault="001A68BD">
            <w:pPr>
              <w:pStyle w:val="ConsPlusNormal0"/>
              <w:jc w:val="center"/>
            </w:pPr>
            <w:r>
              <w:t>Наименование и реквизиты (дата, номер) документа</w:t>
            </w:r>
          </w:p>
        </w:tc>
        <w:tc>
          <w:tcPr>
            <w:tcW w:w="3137" w:type="dxa"/>
            <w:gridSpan w:val="3"/>
          </w:tcPr>
          <w:p w:rsidR="003112A5" w:rsidRDefault="001A68BD">
            <w:pPr>
              <w:pStyle w:val="ConsPlusNormal0"/>
              <w:jc w:val="center"/>
            </w:pPr>
            <w:r>
              <w:t>Количество листов документа</w:t>
            </w:r>
          </w:p>
        </w:tc>
        <w:tc>
          <w:tcPr>
            <w:tcW w:w="1984" w:type="dxa"/>
          </w:tcPr>
          <w:p w:rsidR="003112A5" w:rsidRDefault="001A68BD">
            <w:pPr>
              <w:pStyle w:val="ConsPlusNormal0"/>
              <w:jc w:val="center"/>
            </w:pPr>
            <w:r>
              <w:t>Примечание</w:t>
            </w:r>
          </w:p>
        </w:tc>
      </w:tr>
      <w:tr w:rsidR="003112A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6" w:type="dxa"/>
          </w:tcPr>
          <w:p w:rsidR="003112A5" w:rsidRDefault="003112A5">
            <w:pPr>
              <w:pStyle w:val="ConsPlusNormal0"/>
            </w:pPr>
          </w:p>
        </w:tc>
        <w:tc>
          <w:tcPr>
            <w:tcW w:w="3326" w:type="dxa"/>
          </w:tcPr>
          <w:p w:rsidR="003112A5" w:rsidRDefault="003112A5">
            <w:pPr>
              <w:pStyle w:val="ConsPlusNormal0"/>
            </w:pPr>
          </w:p>
        </w:tc>
        <w:tc>
          <w:tcPr>
            <w:tcW w:w="3137" w:type="dxa"/>
            <w:gridSpan w:val="3"/>
          </w:tcPr>
          <w:p w:rsidR="003112A5" w:rsidRDefault="003112A5">
            <w:pPr>
              <w:pStyle w:val="ConsPlusNormal0"/>
            </w:pPr>
          </w:p>
        </w:tc>
        <w:tc>
          <w:tcPr>
            <w:tcW w:w="1984" w:type="dxa"/>
          </w:tcPr>
          <w:p w:rsidR="003112A5" w:rsidRDefault="003112A5">
            <w:pPr>
              <w:pStyle w:val="ConsPlusNormal0"/>
            </w:pPr>
          </w:p>
        </w:tc>
      </w:tr>
      <w:tr w:rsidR="003112A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6" w:type="dxa"/>
          </w:tcPr>
          <w:p w:rsidR="003112A5" w:rsidRDefault="003112A5">
            <w:pPr>
              <w:pStyle w:val="ConsPlusNormal0"/>
            </w:pPr>
          </w:p>
        </w:tc>
        <w:tc>
          <w:tcPr>
            <w:tcW w:w="3326" w:type="dxa"/>
          </w:tcPr>
          <w:p w:rsidR="003112A5" w:rsidRDefault="003112A5">
            <w:pPr>
              <w:pStyle w:val="ConsPlusNormal0"/>
            </w:pPr>
          </w:p>
        </w:tc>
        <w:tc>
          <w:tcPr>
            <w:tcW w:w="3137" w:type="dxa"/>
            <w:gridSpan w:val="3"/>
          </w:tcPr>
          <w:p w:rsidR="003112A5" w:rsidRDefault="003112A5">
            <w:pPr>
              <w:pStyle w:val="ConsPlusNormal0"/>
            </w:pPr>
          </w:p>
        </w:tc>
        <w:tc>
          <w:tcPr>
            <w:tcW w:w="1984" w:type="dxa"/>
          </w:tcPr>
          <w:p w:rsidR="003112A5" w:rsidRDefault="003112A5">
            <w:pPr>
              <w:pStyle w:val="ConsPlusNormal0"/>
            </w:pPr>
          </w:p>
        </w:tc>
      </w:tr>
      <w:tr w:rsidR="003112A5">
        <w:tc>
          <w:tcPr>
            <w:tcW w:w="9033" w:type="dxa"/>
            <w:gridSpan w:val="6"/>
            <w:tcBorders>
              <w:left w:val="nil"/>
              <w:bottom w:val="nil"/>
              <w:right w:val="nil"/>
            </w:tcBorders>
          </w:tcPr>
          <w:p w:rsidR="003112A5" w:rsidRDefault="003112A5">
            <w:pPr>
              <w:pStyle w:val="ConsPlusNormal0"/>
            </w:pPr>
          </w:p>
        </w:tc>
      </w:tr>
      <w:tr w:rsidR="003112A5">
        <w:tblPrEx>
          <w:tblBorders>
            <w:insideV w:val="nil"/>
          </w:tblBorders>
        </w:tblPrEx>
        <w:tc>
          <w:tcPr>
            <w:tcW w:w="3912" w:type="dxa"/>
            <w:gridSpan w:val="2"/>
            <w:tcBorders>
              <w:top w:val="nil"/>
              <w:bottom w:val="nil"/>
            </w:tcBorders>
          </w:tcPr>
          <w:p w:rsidR="003112A5" w:rsidRDefault="001A68BD">
            <w:pPr>
              <w:pStyle w:val="ConsPlusNormal0"/>
            </w:pPr>
            <w:r>
              <w:t>Руководитель</w:t>
            </w: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3112A5" w:rsidRDefault="003112A5">
            <w:pPr>
              <w:pStyle w:val="ConsPlusNormal0"/>
            </w:pPr>
          </w:p>
        </w:tc>
        <w:tc>
          <w:tcPr>
            <w:tcW w:w="3307" w:type="dxa"/>
            <w:gridSpan w:val="2"/>
            <w:tcBorders>
              <w:top w:val="nil"/>
              <w:bottom w:val="nil"/>
            </w:tcBorders>
          </w:tcPr>
          <w:p w:rsidR="003112A5" w:rsidRDefault="003112A5">
            <w:pPr>
              <w:pStyle w:val="ConsPlusNormal0"/>
            </w:pPr>
          </w:p>
        </w:tc>
      </w:tr>
      <w:tr w:rsidR="003112A5">
        <w:tblPrEx>
          <w:tblBorders>
            <w:insideV w:val="nil"/>
          </w:tblBorders>
        </w:tblPrEx>
        <w:tc>
          <w:tcPr>
            <w:tcW w:w="3912" w:type="dxa"/>
            <w:gridSpan w:val="2"/>
            <w:tcBorders>
              <w:top w:val="nil"/>
            </w:tcBorders>
          </w:tcPr>
          <w:p w:rsidR="003112A5" w:rsidRDefault="003112A5">
            <w:pPr>
              <w:pStyle w:val="ConsPlusNormal0"/>
            </w:pP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3112A5" w:rsidRDefault="003112A5">
            <w:pPr>
              <w:pStyle w:val="ConsPlusNormal0"/>
            </w:pPr>
          </w:p>
        </w:tc>
        <w:tc>
          <w:tcPr>
            <w:tcW w:w="3307" w:type="dxa"/>
            <w:gridSpan w:val="2"/>
            <w:tcBorders>
              <w:top w:val="nil"/>
            </w:tcBorders>
          </w:tcPr>
          <w:p w:rsidR="003112A5" w:rsidRDefault="003112A5">
            <w:pPr>
              <w:pStyle w:val="ConsPlusNormal0"/>
            </w:pPr>
          </w:p>
        </w:tc>
      </w:tr>
      <w:tr w:rsidR="003112A5">
        <w:tblPrEx>
          <w:tblBorders>
            <w:insideV w:val="nil"/>
          </w:tblBorders>
        </w:tblPrEx>
        <w:tc>
          <w:tcPr>
            <w:tcW w:w="3912" w:type="dxa"/>
            <w:gridSpan w:val="2"/>
            <w:tcBorders>
              <w:bottom w:val="nil"/>
            </w:tcBorders>
          </w:tcPr>
          <w:p w:rsidR="003112A5" w:rsidRDefault="001A68BD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3112A5" w:rsidRDefault="003112A5">
            <w:pPr>
              <w:pStyle w:val="ConsPlusNormal0"/>
            </w:pPr>
          </w:p>
        </w:tc>
        <w:tc>
          <w:tcPr>
            <w:tcW w:w="3307" w:type="dxa"/>
            <w:gridSpan w:val="2"/>
            <w:tcBorders>
              <w:bottom w:val="nil"/>
            </w:tcBorders>
          </w:tcPr>
          <w:p w:rsidR="003112A5" w:rsidRDefault="001A68BD">
            <w:pPr>
              <w:pStyle w:val="ConsPlusNormal0"/>
              <w:jc w:val="center"/>
            </w:pPr>
            <w:r>
              <w:t>расшифровка подписи</w:t>
            </w:r>
          </w:p>
        </w:tc>
      </w:tr>
      <w:tr w:rsidR="003112A5">
        <w:tblPrEx>
          <w:tblBorders>
            <w:insideV w:val="nil"/>
          </w:tblBorders>
        </w:tblPrEx>
        <w:tc>
          <w:tcPr>
            <w:tcW w:w="3912" w:type="dxa"/>
            <w:gridSpan w:val="2"/>
            <w:tcBorders>
              <w:top w:val="nil"/>
              <w:bottom w:val="nil"/>
            </w:tcBorders>
          </w:tcPr>
          <w:p w:rsidR="003112A5" w:rsidRDefault="003112A5">
            <w:pPr>
              <w:pStyle w:val="ConsPlusNormal0"/>
            </w:pP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3112A5" w:rsidRDefault="001A68BD">
            <w:pPr>
              <w:pStyle w:val="ConsPlusNormal0"/>
              <w:jc w:val="center"/>
            </w:pPr>
            <w:r>
              <w:t>М.П.</w:t>
            </w:r>
          </w:p>
          <w:p w:rsidR="003112A5" w:rsidRDefault="001A68BD">
            <w:pPr>
              <w:pStyle w:val="ConsPlusNormal0"/>
              <w:jc w:val="center"/>
            </w:pPr>
            <w:r>
              <w:t>(при наличии)</w:t>
            </w:r>
          </w:p>
        </w:tc>
        <w:tc>
          <w:tcPr>
            <w:tcW w:w="3307" w:type="dxa"/>
            <w:gridSpan w:val="2"/>
            <w:tcBorders>
              <w:top w:val="nil"/>
              <w:bottom w:val="nil"/>
            </w:tcBorders>
          </w:tcPr>
          <w:p w:rsidR="003112A5" w:rsidRDefault="003112A5">
            <w:pPr>
              <w:pStyle w:val="ConsPlusNormal0"/>
            </w:pPr>
          </w:p>
        </w:tc>
      </w:tr>
    </w:tbl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jc w:val="right"/>
        <w:outlineLvl w:val="1"/>
      </w:pPr>
      <w:r>
        <w:t>Приложение N 2</w:t>
      </w:r>
    </w:p>
    <w:p w:rsidR="003112A5" w:rsidRDefault="001A68BD">
      <w:pPr>
        <w:pStyle w:val="ConsPlusNormal0"/>
        <w:jc w:val="right"/>
      </w:pPr>
      <w:r>
        <w:t>к Порядку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Title0"/>
        <w:jc w:val="center"/>
      </w:pPr>
      <w:bookmarkStart w:id="18" w:name="P258"/>
      <w:bookmarkEnd w:id="18"/>
      <w:r>
        <w:t>ПЕРЕЧЕНЬ</w:t>
      </w:r>
    </w:p>
    <w:p w:rsidR="003112A5" w:rsidRDefault="001A68BD">
      <w:pPr>
        <w:pStyle w:val="ConsPlusTitle0"/>
        <w:jc w:val="center"/>
      </w:pPr>
      <w:r>
        <w:t>НАПРАВЛЕНИЙ РАСХОДОВ, ИСТОЧНИКОМ ФИНАНСОВОГО ОБЕСПЕЧЕНИЯ</w:t>
      </w:r>
    </w:p>
    <w:p w:rsidR="003112A5" w:rsidRDefault="001A68BD">
      <w:pPr>
        <w:pStyle w:val="ConsPlusTitle0"/>
        <w:jc w:val="center"/>
      </w:pPr>
      <w:r>
        <w:t>КОТОРЫХ ЯВЛЯЕТСЯ СУБСИДИЯ ИЗ ОБЛАСТНОГО БЮДЖЕТА</w:t>
      </w:r>
    </w:p>
    <w:p w:rsidR="003112A5" w:rsidRDefault="001A68BD">
      <w:pPr>
        <w:pStyle w:val="ConsPlusTitle0"/>
        <w:jc w:val="center"/>
      </w:pPr>
      <w:r>
        <w:t>НА ФИНАНСОВОЕ ОБЕСПЕЧЕНИЕ ЗАТРАТ АВТОНОМНОЙ НЕКОММЕРЧЕСКОЙ</w:t>
      </w:r>
    </w:p>
    <w:p w:rsidR="003112A5" w:rsidRDefault="001A68BD">
      <w:pPr>
        <w:pStyle w:val="ConsPlusTitle0"/>
        <w:jc w:val="center"/>
      </w:pPr>
      <w:r>
        <w:t>ОРГАНИЗАЦИИ "АРКТИЧЕСКИЙ ЦЕНТР КОМПЕТЕНЦИЙ", СВЯЗАННЫХ</w:t>
      </w:r>
    </w:p>
    <w:p w:rsidR="003112A5" w:rsidRDefault="001A68BD">
      <w:pPr>
        <w:pStyle w:val="ConsPlusTitle0"/>
        <w:jc w:val="center"/>
      </w:pPr>
      <w:r>
        <w:t>С РЕАЛИЗАЦИЕЙ МЕРОПРИЯТИЙ РЕГИОНАЛЬНОЙ ПРОГРАММЫ "ГЕРОИ</w:t>
      </w:r>
    </w:p>
    <w:p w:rsidR="003112A5" w:rsidRDefault="001A68BD">
      <w:pPr>
        <w:pStyle w:val="ConsPlusTitle0"/>
        <w:jc w:val="center"/>
      </w:pPr>
      <w:r>
        <w:t>СЕВЕРА"</w:t>
      </w:r>
    </w:p>
    <w:p w:rsidR="003112A5" w:rsidRDefault="003112A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5"/>
        <w:gridCol w:w="8447"/>
      </w:tblGrid>
      <w:tr w:rsidR="003112A5">
        <w:tc>
          <w:tcPr>
            <w:tcW w:w="605" w:type="dxa"/>
          </w:tcPr>
          <w:p w:rsidR="003112A5" w:rsidRDefault="001A68BD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8447" w:type="dxa"/>
          </w:tcPr>
          <w:p w:rsidR="003112A5" w:rsidRDefault="001A68BD">
            <w:pPr>
              <w:pStyle w:val="ConsPlusNormal0"/>
              <w:jc w:val="center"/>
            </w:pPr>
            <w:r>
              <w:t>Наименование направлений затрат</w:t>
            </w:r>
          </w:p>
          <w:p w:rsidR="003112A5" w:rsidRDefault="001A68BD">
            <w:pPr>
              <w:pStyle w:val="ConsPlusNormal0"/>
              <w:jc w:val="center"/>
            </w:pPr>
            <w:r>
              <w:t>(направления расходования субсидии)</w:t>
            </w:r>
          </w:p>
        </w:tc>
      </w:tr>
      <w:tr w:rsidR="003112A5">
        <w:tc>
          <w:tcPr>
            <w:tcW w:w="605" w:type="dxa"/>
          </w:tcPr>
          <w:p w:rsidR="003112A5" w:rsidRDefault="001A68BD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8447" w:type="dxa"/>
          </w:tcPr>
          <w:p w:rsidR="003112A5" w:rsidRDefault="001A68BD">
            <w:pPr>
              <w:pStyle w:val="ConsPlusNormal0"/>
              <w:jc w:val="both"/>
            </w:pPr>
            <w:r>
              <w:t xml:space="preserve">Затраты на аренду помещений, залов, площадок и иных мест для проведения </w:t>
            </w:r>
            <w:r>
              <w:lastRenderedPageBreak/>
              <w:t>мероприятий, направленных на содействие профессиональному развитию участников региональной программы "Герои Север</w:t>
            </w:r>
            <w:r>
              <w:t>а" (далее - мероприятия программы, участники мероприятий программы соответственно)</w:t>
            </w:r>
          </w:p>
        </w:tc>
      </w:tr>
      <w:tr w:rsidR="003112A5">
        <w:tc>
          <w:tcPr>
            <w:tcW w:w="605" w:type="dxa"/>
          </w:tcPr>
          <w:p w:rsidR="003112A5" w:rsidRDefault="001A68BD">
            <w:pPr>
              <w:pStyle w:val="ConsPlusNormal0"/>
              <w:jc w:val="center"/>
            </w:pPr>
            <w:r>
              <w:lastRenderedPageBreak/>
              <w:t>2</w:t>
            </w:r>
          </w:p>
        </w:tc>
        <w:tc>
          <w:tcPr>
            <w:tcW w:w="8447" w:type="dxa"/>
          </w:tcPr>
          <w:p w:rsidR="003112A5" w:rsidRDefault="001A68BD">
            <w:pPr>
              <w:pStyle w:val="ConsPlusNormal0"/>
              <w:jc w:val="both"/>
            </w:pPr>
            <w:r>
              <w:t>Затраты на оплату услуг лиц, привлекаемых к проведению мероприятий, включая образовательные организации, спикеров, лекторов, преподавателей, экспертов, психологов, специа</w:t>
            </w:r>
            <w:r>
              <w:t>листов по оценке, модераторов, гидов, сопровождающих и иных лиц (далее - лица, привлекаемые к проведению мероприятий)</w:t>
            </w:r>
          </w:p>
        </w:tc>
      </w:tr>
      <w:tr w:rsidR="003112A5">
        <w:tc>
          <w:tcPr>
            <w:tcW w:w="605" w:type="dxa"/>
          </w:tcPr>
          <w:p w:rsidR="003112A5" w:rsidRDefault="001A68BD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8447" w:type="dxa"/>
          </w:tcPr>
          <w:p w:rsidR="003112A5" w:rsidRDefault="001A68BD">
            <w:pPr>
              <w:pStyle w:val="ConsPlusNormal0"/>
              <w:jc w:val="both"/>
            </w:pPr>
            <w:r>
              <w:t>Затраты на:</w:t>
            </w:r>
          </w:p>
          <w:p w:rsidR="003112A5" w:rsidRDefault="001A68BD">
            <w:pPr>
              <w:pStyle w:val="ConsPlusNormal0"/>
              <w:jc w:val="both"/>
            </w:pPr>
            <w:r>
              <w:t>- оплату транспортных услуг, проезда (перелета) участников мероприятий программы, лиц, привлекаемых к проведению мероприяти</w:t>
            </w:r>
            <w:r>
              <w:t xml:space="preserve">я, либо возмещение указанных расходов </w:t>
            </w:r>
            <w:hyperlink w:anchor="P299" w:tooltip="&lt;1&gt; Предельный объем финансирования по оплате расходов на транспортные услуги, проезд: из расчета оплаты проезда не выше экономкласса на авиа- и железнодорожном транспорте.">
              <w:r>
                <w:rPr>
                  <w:color w:val="0000FF"/>
                </w:rPr>
                <w:t>&lt;1&gt;</w:t>
              </w:r>
            </w:hyperlink>
            <w:r>
              <w:t>;</w:t>
            </w:r>
          </w:p>
          <w:p w:rsidR="003112A5" w:rsidRDefault="001A68BD">
            <w:pPr>
              <w:pStyle w:val="ConsPlusNormal0"/>
              <w:jc w:val="both"/>
            </w:pPr>
            <w:r>
              <w:t>- оплату</w:t>
            </w:r>
            <w:r>
              <w:t xml:space="preserve"> аренды транспорта, в том числе с экипажем для организации перевозки участников мероприятий программы и лиц, привлекаемых к проведению мероприятий</w:t>
            </w:r>
          </w:p>
        </w:tc>
      </w:tr>
      <w:tr w:rsidR="003112A5">
        <w:tc>
          <w:tcPr>
            <w:tcW w:w="605" w:type="dxa"/>
          </w:tcPr>
          <w:p w:rsidR="003112A5" w:rsidRDefault="001A68BD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8447" w:type="dxa"/>
          </w:tcPr>
          <w:p w:rsidR="003112A5" w:rsidRDefault="001A68BD">
            <w:pPr>
              <w:pStyle w:val="ConsPlusNormal0"/>
              <w:jc w:val="both"/>
            </w:pPr>
            <w:r>
              <w:t>Затраты на организацию фотосъемки, аудио- и видеосопровождения, светового сопровождения, а также обеспечен</w:t>
            </w:r>
            <w:r>
              <w:t>ие прямой трансляции мероприятий (аренда технического, технологического и (или) иного оборудования, доставка, монтаж (демонтаж), погрузо-разгрузочные работы, обслуживание и иное)</w:t>
            </w:r>
          </w:p>
        </w:tc>
      </w:tr>
      <w:tr w:rsidR="003112A5">
        <w:tc>
          <w:tcPr>
            <w:tcW w:w="605" w:type="dxa"/>
          </w:tcPr>
          <w:p w:rsidR="003112A5" w:rsidRDefault="001A68BD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8447" w:type="dxa"/>
          </w:tcPr>
          <w:p w:rsidR="003112A5" w:rsidRDefault="001A68BD">
            <w:pPr>
              <w:pStyle w:val="ConsPlusNormal0"/>
              <w:jc w:val="both"/>
            </w:pPr>
            <w:r>
              <w:t>Затраты на обеспечение оборудованием, в том числе интерактивными, модульными конструкциями, портативными предметами (техникой), спортивным инвентарем, строительными материалами и инструментами, а также иным оборудованием, необходимым при проведении меропри</w:t>
            </w:r>
            <w:r>
              <w:t>ятий программы (аренда, изготовление, монтаж и демонтаж, доставка, обслуживание и иное)</w:t>
            </w:r>
          </w:p>
        </w:tc>
      </w:tr>
      <w:tr w:rsidR="003112A5">
        <w:tc>
          <w:tcPr>
            <w:tcW w:w="605" w:type="dxa"/>
          </w:tcPr>
          <w:p w:rsidR="003112A5" w:rsidRDefault="001A68BD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8447" w:type="dxa"/>
          </w:tcPr>
          <w:p w:rsidR="003112A5" w:rsidRDefault="001A68BD">
            <w:pPr>
              <w:pStyle w:val="ConsPlusNormal0"/>
              <w:jc w:val="both"/>
            </w:pPr>
            <w:r>
              <w:t>Затраты на разработку, изготовление, приобретение, поставку (включая транспортные расходы к местам проведения мероприятий программы) презентационной (имиджевой), инф</w:t>
            </w:r>
            <w:r>
              <w:t>ормационной, полиграфической, печатной и иной продукции, в том числе брендированной одежды (включая макетирование, разработку логотипа (эскиза) мероприятия, оцифровку изображений)</w:t>
            </w:r>
          </w:p>
        </w:tc>
      </w:tr>
      <w:tr w:rsidR="003112A5">
        <w:tc>
          <w:tcPr>
            <w:tcW w:w="605" w:type="dxa"/>
          </w:tcPr>
          <w:p w:rsidR="003112A5" w:rsidRDefault="001A68BD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8447" w:type="dxa"/>
          </w:tcPr>
          <w:p w:rsidR="003112A5" w:rsidRDefault="001A68BD">
            <w:pPr>
              <w:pStyle w:val="ConsPlusNormal0"/>
              <w:jc w:val="both"/>
            </w:pPr>
            <w:r>
              <w:t>Затраты на изготовление, поставку, приобретение канцелярских товаров и на</w:t>
            </w:r>
            <w:r>
              <w:t>градной атрибутики</w:t>
            </w:r>
          </w:p>
        </w:tc>
      </w:tr>
      <w:tr w:rsidR="003112A5">
        <w:tc>
          <w:tcPr>
            <w:tcW w:w="605" w:type="dxa"/>
          </w:tcPr>
          <w:p w:rsidR="003112A5" w:rsidRDefault="001A68BD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8447" w:type="dxa"/>
          </w:tcPr>
          <w:p w:rsidR="003112A5" w:rsidRDefault="001A68BD">
            <w:pPr>
              <w:pStyle w:val="ConsPlusNormal0"/>
              <w:jc w:val="both"/>
            </w:pPr>
            <w:r>
              <w:t>Затраты на изготовление и размещение информационных стендов, стоек, билбордов, флагов-парусов, флагштоков для флагов-парусов, баннеров и иных подобных сооружений (аренда, изготовление, монтаж (демонтаж), доставка, обслуживание и иное)</w:t>
            </w:r>
          </w:p>
        </w:tc>
      </w:tr>
      <w:tr w:rsidR="003112A5">
        <w:tc>
          <w:tcPr>
            <w:tcW w:w="605" w:type="dxa"/>
          </w:tcPr>
          <w:p w:rsidR="003112A5" w:rsidRDefault="001A68BD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8447" w:type="dxa"/>
          </w:tcPr>
          <w:p w:rsidR="003112A5" w:rsidRDefault="001A68BD">
            <w:pPr>
              <w:pStyle w:val="ConsPlusNormal0"/>
              <w:jc w:val="both"/>
            </w:pPr>
            <w:r>
              <w:t xml:space="preserve">Затраты на оплату проживания </w:t>
            </w:r>
            <w:hyperlink w:anchor="P300" w:tooltip="&lt;2&gt; Предельный объем финансирования по оплате расходов на проживание: в размере фактически произведенных расходов, но не более 4000 рублей в сутки на человека.">
              <w:r>
                <w:rPr>
                  <w:color w:val="0000FF"/>
                </w:rPr>
                <w:t>&lt;2&gt;</w:t>
              </w:r>
            </w:hyperlink>
            <w:r>
              <w:t>:</w:t>
            </w:r>
          </w:p>
          <w:p w:rsidR="003112A5" w:rsidRDefault="001A68BD">
            <w:pPr>
              <w:pStyle w:val="ConsPlusNormal0"/>
              <w:jc w:val="both"/>
            </w:pPr>
            <w:r>
              <w:t>- участников мероприятий программы, в том числе во время выездных мероприятий, корпоративного модуля, образовательного модуля и прохождения стажировки;</w:t>
            </w:r>
          </w:p>
          <w:p w:rsidR="003112A5" w:rsidRDefault="001A68BD">
            <w:pPr>
              <w:pStyle w:val="ConsPlusNormal0"/>
              <w:jc w:val="both"/>
            </w:pPr>
            <w:r>
              <w:lastRenderedPageBreak/>
              <w:t>- лиц, привлекаемых к проведению мероприятий</w:t>
            </w:r>
          </w:p>
        </w:tc>
      </w:tr>
      <w:tr w:rsidR="003112A5">
        <w:tc>
          <w:tcPr>
            <w:tcW w:w="605" w:type="dxa"/>
          </w:tcPr>
          <w:p w:rsidR="003112A5" w:rsidRDefault="001A68BD">
            <w:pPr>
              <w:pStyle w:val="ConsPlusNormal0"/>
              <w:jc w:val="center"/>
            </w:pPr>
            <w:r>
              <w:lastRenderedPageBreak/>
              <w:t>10</w:t>
            </w:r>
          </w:p>
        </w:tc>
        <w:tc>
          <w:tcPr>
            <w:tcW w:w="8447" w:type="dxa"/>
          </w:tcPr>
          <w:p w:rsidR="003112A5" w:rsidRDefault="001A68BD">
            <w:pPr>
              <w:pStyle w:val="ConsPlusNormal0"/>
              <w:jc w:val="both"/>
            </w:pPr>
            <w:r>
              <w:t>Затраты на организацию питания в период реализации мероприятий программы, в том числе на организацию выездного буфетного обслуживания (питания), приобретение питьевой воды</w:t>
            </w:r>
          </w:p>
        </w:tc>
      </w:tr>
      <w:tr w:rsidR="003112A5">
        <w:tc>
          <w:tcPr>
            <w:tcW w:w="605" w:type="dxa"/>
          </w:tcPr>
          <w:p w:rsidR="003112A5" w:rsidRDefault="001A68BD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8447" w:type="dxa"/>
          </w:tcPr>
          <w:p w:rsidR="003112A5" w:rsidRDefault="001A68BD">
            <w:pPr>
              <w:pStyle w:val="ConsPlusNormal0"/>
              <w:jc w:val="both"/>
            </w:pPr>
            <w:r>
              <w:t>Затраты на организацию проведения спортивной и обучающей программ для участников</w:t>
            </w:r>
            <w:r>
              <w:t xml:space="preserve"> мероприятий, направленных в том числе на формирование </w:t>
            </w:r>
            <w:proofErr w:type="spellStart"/>
            <w:r>
              <w:t>командообразования</w:t>
            </w:r>
            <w:proofErr w:type="spellEnd"/>
            <w:r>
              <w:t xml:space="preserve"> и развития профессиональных компетенций участников мероприятий программы</w:t>
            </w:r>
          </w:p>
        </w:tc>
      </w:tr>
      <w:tr w:rsidR="003112A5">
        <w:tc>
          <w:tcPr>
            <w:tcW w:w="605" w:type="dxa"/>
          </w:tcPr>
          <w:p w:rsidR="003112A5" w:rsidRDefault="001A68BD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8447" w:type="dxa"/>
          </w:tcPr>
          <w:p w:rsidR="003112A5" w:rsidRDefault="001A68BD">
            <w:pPr>
              <w:pStyle w:val="ConsPlusNormal0"/>
              <w:jc w:val="both"/>
            </w:pPr>
            <w:r>
              <w:t>Затраты по оплате услуг обеспечения безопасности в местах проведения мероприятий, административно-хозяйст</w:t>
            </w:r>
            <w:r>
              <w:t>венного и технического персонала, иных специалистов, привлекаемых к мероприятиям программы, в том числе на условиях договора гражданско-правового характера</w:t>
            </w:r>
          </w:p>
        </w:tc>
      </w:tr>
    </w:tbl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r>
        <w:t>--------------------------------</w:t>
      </w:r>
    </w:p>
    <w:p w:rsidR="003112A5" w:rsidRDefault="001A68BD">
      <w:pPr>
        <w:pStyle w:val="ConsPlusNormal0"/>
        <w:spacing w:before="240"/>
        <w:ind w:firstLine="540"/>
        <w:jc w:val="both"/>
      </w:pPr>
      <w:bookmarkStart w:id="19" w:name="P299"/>
      <w:bookmarkEnd w:id="19"/>
      <w:r>
        <w:t>&lt;1&gt; Предельный объем финансирования по оплате расходов на транспо</w:t>
      </w:r>
      <w:r>
        <w:t xml:space="preserve">ртные услуги, проезд: из расчета оплаты проезда не выше </w:t>
      </w:r>
      <w:proofErr w:type="spellStart"/>
      <w:r>
        <w:t>экономкласса</w:t>
      </w:r>
      <w:proofErr w:type="spellEnd"/>
      <w:r>
        <w:t xml:space="preserve"> на авиа- и железнодорожном транспорте.</w:t>
      </w:r>
    </w:p>
    <w:p w:rsidR="003112A5" w:rsidRDefault="001A68BD">
      <w:pPr>
        <w:pStyle w:val="ConsPlusNormal0"/>
        <w:spacing w:before="240"/>
        <w:ind w:firstLine="540"/>
        <w:jc w:val="both"/>
      </w:pPr>
      <w:bookmarkStart w:id="20" w:name="P300"/>
      <w:bookmarkEnd w:id="20"/>
      <w:r>
        <w:t>&lt;2&gt; Предельный объем финансирования по оплате расходов на проживание: в размере фактически произведенных расходов, но не более 4000 рублей в сутки н</w:t>
      </w:r>
      <w:r>
        <w:t>а человека.</w:t>
      </w: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jc w:val="right"/>
        <w:outlineLvl w:val="0"/>
      </w:pPr>
      <w:r>
        <w:t>Приложение</w:t>
      </w:r>
    </w:p>
    <w:p w:rsidR="003112A5" w:rsidRDefault="001A68BD">
      <w:pPr>
        <w:pStyle w:val="ConsPlusNormal0"/>
        <w:jc w:val="right"/>
      </w:pPr>
      <w:r>
        <w:t>к постановлению</w:t>
      </w:r>
    </w:p>
    <w:p w:rsidR="003112A5" w:rsidRDefault="001A68BD">
      <w:pPr>
        <w:pStyle w:val="ConsPlusNormal0"/>
        <w:jc w:val="right"/>
      </w:pPr>
      <w:r>
        <w:t>Правительства Мурманской области</w:t>
      </w:r>
    </w:p>
    <w:p w:rsidR="003112A5" w:rsidRDefault="001A68BD">
      <w:pPr>
        <w:pStyle w:val="ConsPlusNormal0"/>
        <w:jc w:val="right"/>
      </w:pPr>
      <w:r>
        <w:t>от 3 июня 2025 г. N 383-ПП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Title0"/>
        <w:jc w:val="center"/>
      </w:pPr>
      <w:bookmarkStart w:id="21" w:name="P311"/>
      <w:bookmarkEnd w:id="21"/>
      <w:r>
        <w:t>ИЗМЕНЕНИЯ</w:t>
      </w:r>
    </w:p>
    <w:p w:rsidR="003112A5" w:rsidRDefault="001A68BD">
      <w:pPr>
        <w:pStyle w:val="ConsPlusTitle0"/>
        <w:jc w:val="center"/>
      </w:pPr>
      <w:r>
        <w:t>В ГОСУДАРСТВЕННУЮ ПРОГРАММУ МУРМАНСКОЙ ОБЛАСТИ</w:t>
      </w:r>
    </w:p>
    <w:p w:rsidR="003112A5" w:rsidRDefault="001A68BD">
      <w:pPr>
        <w:pStyle w:val="ConsPlusTitle0"/>
        <w:jc w:val="center"/>
      </w:pPr>
      <w:r>
        <w:t>"ГОСУДАРСТВЕННОЕ УПРАВЛЕНИЕ И ГРАЖДАНСКОЕ ОБЩЕСТВО"</w:t>
      </w: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r>
        <w:t>1. В таблице подраздела 2.1 "Основные положения" паспорта государственной программы Мурманской области "Государственное управление и гражданское общество" (далее - государственная программа) позицию "Объ</w:t>
      </w:r>
      <w:r>
        <w:t>емы финансового обеспечения за весь период реализации" изложить в редакции:</w:t>
      </w:r>
    </w:p>
    <w:p w:rsidR="003112A5" w:rsidRDefault="003112A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5896"/>
      </w:tblGrid>
      <w:tr w:rsidR="003112A5"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2A5" w:rsidRDefault="001A68BD">
            <w:pPr>
              <w:pStyle w:val="ConsPlusNormal0"/>
            </w:pPr>
            <w:r>
              <w:t>"Объемы финансового обеспечения за весь период реализации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12A5" w:rsidRDefault="001A68BD">
            <w:pPr>
              <w:pStyle w:val="ConsPlusNormal0"/>
            </w:pPr>
            <w:r>
              <w:t>2024 - 2030 гг.: 28873141,2 тыс. рублей, в том числе:</w:t>
            </w:r>
          </w:p>
          <w:p w:rsidR="003112A5" w:rsidRDefault="001A68BD">
            <w:pPr>
              <w:pStyle w:val="ConsPlusNormal0"/>
            </w:pPr>
            <w:r>
              <w:t>Этап I: 2021 - 2024 гг.: 12464262,5 тыс. рублей;</w:t>
            </w:r>
          </w:p>
          <w:p w:rsidR="003112A5" w:rsidRDefault="001A68BD">
            <w:pPr>
              <w:pStyle w:val="ConsPlusNormal0"/>
            </w:pPr>
            <w:r>
              <w:t>Этап II: 2025 - 20</w:t>
            </w:r>
            <w:r>
              <w:t>30 гг.: 16408878,7 тыс. рублей"</w:t>
            </w:r>
          </w:p>
        </w:tc>
      </w:tr>
    </w:tbl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r>
        <w:lastRenderedPageBreak/>
        <w:t>2. Пункт 8</w:t>
      </w:r>
      <w:r>
        <w:t xml:space="preserve"> "Комплекс процессных мероприятий "Создание условий для укрепления единства российской нации и этнокультурного развития народов России в Мурманской области" таблицы подраздела 2.4 "Структура государственной программы" паспорта государственной программы доп</w:t>
      </w:r>
      <w:r>
        <w:t>олнить подпунктом 8.3 следующего содержания:</w:t>
      </w:r>
    </w:p>
    <w:p w:rsidR="003112A5" w:rsidRDefault="003112A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061"/>
        <w:gridCol w:w="2778"/>
        <w:gridCol w:w="2551"/>
      </w:tblGrid>
      <w:tr w:rsidR="003112A5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2A5" w:rsidRDefault="001A68BD">
            <w:pPr>
              <w:pStyle w:val="ConsPlusNormal0"/>
              <w:jc w:val="center"/>
            </w:pPr>
            <w:r>
              <w:t>"8.3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2A5" w:rsidRDefault="001A68BD">
            <w:pPr>
              <w:pStyle w:val="ConsPlusNormal0"/>
            </w:pPr>
            <w:r>
              <w:t>Задача 3 "Содействие профессиональному развитию участников региональной программы "Герои Севера"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2A5" w:rsidRDefault="001A68BD">
            <w:pPr>
              <w:pStyle w:val="ConsPlusNormal0"/>
              <w:jc w:val="center"/>
            </w:pPr>
            <w:r>
              <w:t>Предоставлена поддержка из областного бюджета на реализацию мероприятий региональной программы "Герои Севера</w:t>
            </w:r>
            <w:r>
              <w:t>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2A5" w:rsidRDefault="001A68BD">
            <w:pPr>
              <w:pStyle w:val="ConsPlusNormal0"/>
              <w:jc w:val="center"/>
            </w:pPr>
            <w:r>
              <w:t>4.1. Уровень общероссийской гражданской идентичности жителей Мурманской области"</w:t>
            </w:r>
          </w:p>
        </w:tc>
      </w:tr>
    </w:tbl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r>
        <w:t>3. В таблице подраздела 2.5 "Финансовое обеспечение государственной программы" паспорта государственной программы позиции "Государственная программа Мурманской области "Государственное управление и гражданское общество" (всего), в том числе:", "2. Министер</w:t>
      </w:r>
      <w:r>
        <w:t>ство внутренней политики Мурманской области (всего), в том числе:", "8. Комплекс процессных мероприятий "Создание условий для укрепления единства российской нации и этнокультурного развития народов России в Мурманской области" (всего), в том числе:" изложи</w:t>
      </w:r>
      <w:r>
        <w:t>ть в редакции:</w:t>
      </w: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sectPr w:rsidR="003112A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1361"/>
        <w:gridCol w:w="1304"/>
        <w:gridCol w:w="1361"/>
        <w:gridCol w:w="1361"/>
        <w:gridCol w:w="1304"/>
        <w:gridCol w:w="1304"/>
        <w:gridCol w:w="1474"/>
      </w:tblGrid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lastRenderedPageBreak/>
              <w:t>"Государственная программа Мурманской области "Государственное управление и гражданское общество" (всего), в том числе: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3264353,6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2634724,7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2627450,1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2627450,1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2627450,1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2627450,1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16408878,7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3256955,0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2634289,2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2627450,1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2627450,1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2627450,1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2627450,1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16401044,6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85476,7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80079,1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81458,6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81458,6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81458,6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81458,6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491390,2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115944,1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108761,1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109193,5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109193,5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109193,5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109193,5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661479,2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 xml:space="preserve">Бюджет территориального </w:t>
            </w:r>
            <w:r>
              <w:lastRenderedPageBreak/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lastRenderedPageBreak/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116342,7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109196,6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109193,5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109193,5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109193,5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109193,5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662313,3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7000,0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7000,0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Объем налоговых расходов субъекта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2. Министерство внутренней политики Мурманской области (всего), в том числе: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265211,8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120227,4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120227,4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120227,4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120227,4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120227,4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866348,8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258211,8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120227,4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120227,4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120227,4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120227,4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120227,4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859348,8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8383,8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8383,8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 xml:space="preserve">Бюджет территориального государственного внебюджетного фонда (бюджет </w:t>
            </w:r>
            <w:r>
              <w:t>территориального фонда обязательного медицинского страхования)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7000,0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7000,0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8. Комплекс процессных мероприятий "Создание условий для укрепления единства российской нации и этнокультурного развития народов России в Мурманской области" (всего), в том числе: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103150,0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36859,2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33932,6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33932,6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33932,6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33932,6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275739,6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96150,0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36859,2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33932,6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33932,6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33932,6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33932,6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268739,6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10000,0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10000,0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 xml:space="preserve">Консолидированные </w:t>
            </w:r>
            <w:r>
              <w:lastRenderedPageBreak/>
              <w:t>бюджеты муниципальных образований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lastRenderedPageBreak/>
              <w:t>10000,0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10000,0</w:t>
            </w:r>
          </w:p>
        </w:tc>
      </w:tr>
      <w:tr w:rsidR="003112A5">
        <w:tc>
          <w:tcPr>
            <w:tcW w:w="3118" w:type="dxa"/>
            <w:vAlign w:val="bottom"/>
          </w:tcPr>
          <w:p w:rsidR="003112A5" w:rsidRDefault="001A68BD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7000,0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30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112A5" w:rsidRDefault="001A68BD">
            <w:pPr>
              <w:pStyle w:val="ConsPlusNormal0"/>
              <w:jc w:val="right"/>
            </w:pPr>
            <w:r>
              <w:t>7000,0"</w:t>
            </w:r>
          </w:p>
        </w:tc>
      </w:tr>
    </w:tbl>
    <w:p w:rsidR="003112A5" w:rsidRDefault="003112A5">
      <w:pPr>
        <w:pStyle w:val="ConsPlusNormal0"/>
        <w:sectPr w:rsidR="003112A5">
          <w:headerReference w:type="default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3112A5" w:rsidRDefault="003112A5">
      <w:pPr>
        <w:pStyle w:val="ConsPlusNormal0"/>
        <w:jc w:val="both"/>
      </w:pPr>
    </w:p>
    <w:p w:rsidR="003112A5" w:rsidRDefault="001A68BD">
      <w:pPr>
        <w:pStyle w:val="ConsPlusNormal0"/>
        <w:ind w:firstLine="540"/>
        <w:jc w:val="both"/>
      </w:pPr>
      <w:r>
        <w:t>4. Раздел 8 "Комплекс процессных мероприятий "Создание условий для укрепления единства российской нации и этнокультурного развития народ</w:t>
      </w:r>
      <w:r>
        <w:t>ов России в Мурманской области" таблицы раздела 5 "Сведения об источниках и методике расчета значений показателей государственной программы" государственной программы дополнить пунктом 8.6 следующего содержания:</w:t>
      </w:r>
    </w:p>
    <w:p w:rsidR="003112A5" w:rsidRDefault="003112A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1701"/>
        <w:gridCol w:w="624"/>
        <w:gridCol w:w="907"/>
        <w:gridCol w:w="340"/>
        <w:gridCol w:w="1871"/>
        <w:gridCol w:w="1166"/>
        <w:gridCol w:w="1795"/>
      </w:tblGrid>
      <w:tr w:rsidR="003112A5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2A5" w:rsidRDefault="001A68BD">
            <w:pPr>
              <w:pStyle w:val="ConsPlusNormal0"/>
            </w:pPr>
            <w:r>
              <w:t>"8.6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2A5" w:rsidRDefault="001A68BD">
            <w:pPr>
              <w:pStyle w:val="ConsPlusNormal0"/>
              <w:jc w:val="center"/>
            </w:pPr>
            <w:r>
              <w:t xml:space="preserve">Численность лиц, прошедших обучение в </w:t>
            </w:r>
            <w:r>
              <w:t>рамках региональной программы "Герои Севера"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2A5" w:rsidRDefault="001A68BD">
            <w:pPr>
              <w:pStyle w:val="ConsPlusNormal0"/>
              <w:jc w:val="center"/>
            </w:pPr>
            <w:r>
              <w:t>человек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2A5" w:rsidRDefault="001A68BD">
            <w:pPr>
              <w:pStyle w:val="ConsPlusNormal0"/>
              <w:jc w:val="center"/>
            </w:pPr>
            <w:r>
              <w:t>дискретный показатель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2A5" w:rsidRDefault="001A68BD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2A5" w:rsidRDefault="001A68BD">
            <w:pPr>
              <w:pStyle w:val="ConsPlusNormal0"/>
              <w:jc w:val="center"/>
            </w:pPr>
            <w:r>
              <w:t>ведомственные данные (отчет о достижении значений результата предоставления субсидии)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2A5" w:rsidRDefault="001A68BD">
            <w:pPr>
              <w:pStyle w:val="ConsPlusNormal0"/>
              <w:jc w:val="center"/>
            </w:pPr>
            <w:r>
              <w:t>31 декабря текущего года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2A5" w:rsidRDefault="001A68BD">
            <w:pPr>
              <w:pStyle w:val="ConsPlusNormal0"/>
              <w:jc w:val="center"/>
            </w:pPr>
            <w:r>
              <w:t>Министерство внутренней политики Мурманской области"</w:t>
            </w:r>
          </w:p>
        </w:tc>
      </w:tr>
    </w:tbl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jc w:val="both"/>
      </w:pPr>
    </w:p>
    <w:p w:rsidR="003112A5" w:rsidRDefault="003112A5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3112A5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8BD" w:rsidRDefault="001A68BD">
      <w:r>
        <w:separator/>
      </w:r>
    </w:p>
  </w:endnote>
  <w:endnote w:type="continuationSeparator" w:id="0">
    <w:p w:rsidR="001A68BD" w:rsidRDefault="001A6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2A5" w:rsidRDefault="003112A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112A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112A5" w:rsidRDefault="001A68BD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112A5" w:rsidRDefault="001A68BD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112A5" w:rsidRDefault="001A68BD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112A5" w:rsidRDefault="001A68BD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2A5" w:rsidRDefault="003112A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112A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112A5" w:rsidRDefault="001A68BD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112A5" w:rsidRDefault="001A68BD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112A5" w:rsidRDefault="001A68BD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112A5" w:rsidRDefault="001A68BD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2A5" w:rsidRDefault="003112A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3112A5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112A5" w:rsidRDefault="001A68BD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адежная правовая поддержка</w:t>
          </w:r>
        </w:p>
      </w:tc>
      <w:tc>
        <w:tcPr>
          <w:tcW w:w="1700" w:type="pct"/>
          <w:vAlign w:val="center"/>
        </w:tcPr>
        <w:p w:rsidR="003112A5" w:rsidRDefault="001A68BD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112A5" w:rsidRDefault="001A68BD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112A5" w:rsidRDefault="001A68BD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2A5" w:rsidRDefault="003112A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3112A5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112A5" w:rsidRDefault="001A68BD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112A5" w:rsidRDefault="001A68BD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112A5" w:rsidRDefault="001A68BD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112A5" w:rsidRDefault="001A68BD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2A5" w:rsidRDefault="003112A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112A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112A5" w:rsidRDefault="001A68BD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112A5" w:rsidRDefault="001A68BD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112A5" w:rsidRDefault="001A68BD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112A5" w:rsidRDefault="001A68BD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2A5" w:rsidRDefault="003112A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112A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112A5" w:rsidRDefault="001A68BD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112A5" w:rsidRDefault="001A68BD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112A5" w:rsidRDefault="001A68BD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112A5" w:rsidRDefault="001A68BD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8BD" w:rsidRDefault="001A68BD">
      <w:r>
        <w:separator/>
      </w:r>
    </w:p>
  </w:footnote>
  <w:footnote w:type="continuationSeparator" w:id="0">
    <w:p w:rsidR="001A68BD" w:rsidRDefault="001A6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787"/>
      <w:gridCol w:w="4929"/>
    </w:tblGrid>
    <w:tr w:rsidR="003112A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112A5" w:rsidRDefault="001A68B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03.06.2025 N 383-ПП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предоставления из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областно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112A5" w:rsidRDefault="001A68BD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22.10.2025</w:t>
          </w:r>
        </w:p>
      </w:tc>
    </w:tr>
  </w:tbl>
  <w:p w:rsidR="003112A5" w:rsidRDefault="003112A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112A5" w:rsidRDefault="003112A5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112A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112A5" w:rsidRDefault="001A68B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03.06.2025 N 383-ПП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r>
            <w:rPr>
              <w:rFonts w:ascii="Tahoma" w:hAnsi="Tahoma" w:cs="Tahoma"/>
              <w:sz w:val="16"/>
              <w:szCs w:val="16"/>
            </w:rPr>
            <w:t xml:space="preserve">предоставления из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областно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112A5" w:rsidRDefault="001A68BD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22.10.2025</w:t>
          </w:r>
        </w:p>
      </w:tc>
    </w:tr>
  </w:tbl>
  <w:p w:rsidR="003112A5" w:rsidRDefault="003112A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112A5" w:rsidRDefault="003112A5">
    <w:pPr>
      <w:pStyle w:val="ConsPlusNormal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787"/>
      <w:gridCol w:w="4929"/>
    </w:tblGrid>
    <w:tr w:rsidR="003112A5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112A5" w:rsidRDefault="001A68B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03.06.2025 N 383-ПП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r>
            <w:rPr>
              <w:rFonts w:ascii="Tahoma" w:hAnsi="Tahoma" w:cs="Tahoma"/>
              <w:sz w:val="16"/>
              <w:szCs w:val="16"/>
            </w:rPr>
            <w:t xml:space="preserve">предоставления из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областно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112A5" w:rsidRDefault="001A68BD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22.10.2025</w:t>
          </w:r>
        </w:p>
      </w:tc>
    </w:tr>
  </w:tbl>
  <w:p w:rsidR="003112A5" w:rsidRDefault="003112A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112A5" w:rsidRDefault="003112A5">
    <w:pPr>
      <w:pStyle w:val="ConsPlusNormal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37"/>
      <w:gridCol w:w="6421"/>
    </w:tblGrid>
    <w:tr w:rsidR="003112A5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112A5" w:rsidRDefault="001A68B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Правительства Мурманской области от </w:t>
          </w:r>
          <w:r>
            <w:rPr>
              <w:rFonts w:ascii="Tahoma" w:hAnsi="Tahoma" w:cs="Tahoma"/>
              <w:sz w:val="16"/>
              <w:szCs w:val="16"/>
            </w:rPr>
            <w:t>03.06.2025 N 383-ПП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предоставления из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областно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112A5" w:rsidRDefault="001A68BD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22.10.2025</w:t>
          </w:r>
        </w:p>
      </w:tc>
    </w:tr>
  </w:tbl>
  <w:p w:rsidR="003112A5" w:rsidRDefault="003112A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112A5" w:rsidRDefault="003112A5">
    <w:pPr>
      <w:pStyle w:val="ConsPlusNormal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787"/>
      <w:gridCol w:w="4929"/>
    </w:tblGrid>
    <w:tr w:rsidR="003112A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112A5" w:rsidRDefault="001A68B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03.06.2025 N 383-ПП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предоставления из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областно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112A5" w:rsidRDefault="001A68BD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22.10.2025</w:t>
          </w:r>
        </w:p>
      </w:tc>
    </w:tr>
  </w:tbl>
  <w:p w:rsidR="003112A5" w:rsidRDefault="003112A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112A5" w:rsidRDefault="003112A5">
    <w:pPr>
      <w:pStyle w:val="ConsPlusNormal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3112A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112A5" w:rsidRDefault="001A68B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03.06.2025 N 383-ПП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r>
            <w:rPr>
              <w:rFonts w:ascii="Tahoma" w:hAnsi="Tahoma" w:cs="Tahoma"/>
              <w:sz w:val="16"/>
              <w:szCs w:val="16"/>
            </w:rPr>
            <w:t xml:space="preserve">предоставления из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областно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112A5" w:rsidRDefault="001A68BD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22.10.2025</w:t>
          </w:r>
        </w:p>
      </w:tc>
    </w:tr>
  </w:tbl>
  <w:p w:rsidR="003112A5" w:rsidRDefault="003112A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112A5" w:rsidRDefault="003112A5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2A5"/>
    <w:rsid w:val="001A68BD"/>
    <w:rsid w:val="003112A5"/>
    <w:rsid w:val="003B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07D02-DF77-44E5-AD3E-6AE04E01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webSettings" Target="webSettings.xml"/><Relationship Id="rId21" Type="http://schemas.openxmlformats.org/officeDocument/2006/relationships/footer" Target="footer6.xml"/><Relationship Id="rId7" Type="http://schemas.openxmlformats.org/officeDocument/2006/relationships/hyperlink" Target="https://www.consultant.ru" TargetMode="Externa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7586</Words>
  <Characters>43244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03.06.2025 N 383-ПП
"Об утверждении порядка предоставления из областного бюджета субсидии на финансовое обеспечение затрат автономной некоммерческой организации "Арктический центр компетенций", связанных с</vt:lpstr>
    </vt:vector>
  </TitlesOfParts>
  <Company>КонсультантПлюс Версия 4024.00.50</Company>
  <LinksUpToDate>false</LinksUpToDate>
  <CharactersWithSpaces>50729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03.06.2025 N 383-ПП
"Об утверждении порядка предоставления из областного бюджета субсидии на финансовое обеспечение затрат автономной некоммерческой организации "Арктический центр компетенций", связанных с реализацией мероприятий региональной программы "Герои Севера", о выделении денежных средств из резервного фонда Правительства Мурманской области и о внесении изменений в государственную программу Мурманской области "Государственное управление и гражданское</dc:title>
  <dc:creator>Карпеко Н.Н.</dc:creator>
  <cp:lastModifiedBy>Карпеко Н.Н.</cp:lastModifiedBy>
  <cp:revision>2</cp:revision>
  <dcterms:created xsi:type="dcterms:W3CDTF">2025-10-22T14:32:00Z</dcterms:created>
  <dcterms:modified xsi:type="dcterms:W3CDTF">2025-10-22T14:32:00Z</dcterms:modified>
</cp:coreProperties>
</file>